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1852"/>
        <w:gridCol w:w="128"/>
        <w:gridCol w:w="7740"/>
      </w:tblGrid>
      <w:tr w:rsidR="005F717A" w:rsidRPr="005F717A" w:rsidTr="0017065C">
        <w:trPr>
          <w:trHeight w:val="55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6747CD6" wp14:editId="1DE60B9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963930" cy="358140"/>
                  <wp:effectExtent l="0" t="0" r="7620" b="381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4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5F717A" w:rsidRPr="005F717A" w:rsidTr="005F717A">
              <w:trPr>
                <w:trHeight w:val="332"/>
                <w:tblCellSpacing w:w="0" w:type="dxa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717A" w:rsidRPr="005F717A" w:rsidRDefault="005F717A" w:rsidP="005F71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 Spring 2020</w:t>
            </w:r>
          </w:p>
        </w:tc>
      </w:tr>
      <w:tr w:rsidR="005F717A" w:rsidRPr="005F717A" w:rsidTr="0017065C">
        <w:trPr>
          <w:trHeight w:val="24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A" w:rsidRPr="005F717A" w:rsidRDefault="00E22953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11/19</w:t>
            </w:r>
            <w:bookmarkStart w:id="0" w:name="_GoBack"/>
            <w:bookmarkEnd w:id="0"/>
            <w:r w:rsidR="005F717A" w:rsidRPr="005F717A">
              <w:rPr>
                <w:rFonts w:ascii="Calibri" w:eastAsia="Times New Roman" w:hAnsi="Calibri" w:cs="Times New Roman"/>
                <w:color w:val="000000"/>
              </w:rPr>
              <w:t>/2019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133C4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133C4E" w:rsidRPr="005F717A" w:rsidRDefault="00133C4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133C4E" w:rsidRPr="005F717A" w:rsidRDefault="00133C4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Composition for United States in its Diversity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MUS 21000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Writing about Music (recommended for Music majors)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FQUAN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Freshman Quantitative Analysis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1A0C7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5F717A" w:rsidRPr="005F717A" w:rsidTr="0017065C">
        <w:trPr>
          <w:trHeight w:val="576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5F717A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5F717A" w:rsidRPr="005F717A" w:rsidTr="009241BE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4F81BD" w:themeColor="accent1"/>
              <w:right w:val="nil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7A" w:rsidRPr="005F717A" w:rsidRDefault="005F717A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9241BE" w:rsidRPr="005F717A" w:rsidTr="009241BE">
        <w:trPr>
          <w:trHeight w:val="288"/>
        </w:trPr>
        <w:tc>
          <w:tcPr>
            <w:tcW w:w="18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868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9241BE" w:rsidRPr="005F717A" w:rsidTr="009241BE">
        <w:trPr>
          <w:trHeight w:val="30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HIST 27600 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Africa and the Modern World</w:t>
            </w:r>
          </w:p>
        </w:tc>
      </w:tr>
      <w:tr w:rsidR="009241BE" w:rsidRPr="005F717A" w:rsidTr="00A633B3">
        <w:trPr>
          <w:trHeight w:val="276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065C">
              <w:rPr>
                <w:rFonts w:ascii="Calibri" w:eastAsia="Times New Roman" w:hAnsi="Calibri" w:cs="Times New Roman"/>
                <w:color w:val="000000"/>
              </w:rPr>
              <w:t>URB 31000 (20020)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065C">
              <w:rPr>
                <w:rFonts w:ascii="Calibri" w:eastAsia="Times New Roman" w:hAnsi="Calibri" w:cs="Times New Roman"/>
                <w:color w:val="000000"/>
              </w:rPr>
              <w:t>The City in History</w:t>
            </w:r>
          </w:p>
        </w:tc>
      </w:tr>
      <w:tr w:rsidR="009241BE" w:rsidRPr="0017065C" w:rsidTr="00A633B3">
        <w:trPr>
          <w:trHeight w:val="28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9241BE" w:rsidRPr="0017065C" w:rsidRDefault="009241BE" w:rsidP="0017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241BE" w:rsidRPr="0017065C" w:rsidRDefault="009241BE" w:rsidP="00170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9241BE" w:rsidRPr="005F717A" w:rsidTr="00A633B3">
        <w:trPr>
          <w:trHeight w:val="336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JWST 10411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Psychology of Religion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EAS 10000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Dynamic Earth</w:t>
            </w:r>
          </w:p>
        </w:tc>
      </w:tr>
      <w:tr w:rsidR="009241BE" w:rsidRPr="0010008C" w:rsidTr="0017065C">
        <w:trPr>
          <w:trHeight w:val="288"/>
        </w:trPr>
        <w:tc>
          <w:tcPr>
            <w:tcW w:w="185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008C">
              <w:rPr>
                <w:rFonts w:ascii="Calibri" w:eastAsia="Times New Roman" w:hAnsi="Calibri" w:cs="Times New Roman"/>
                <w:color w:val="000000"/>
              </w:rPr>
              <w:t>EAS 10300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008C">
              <w:rPr>
                <w:rFonts w:ascii="Calibri" w:eastAsia="Times New Roman" w:hAnsi="Calibri" w:cs="Times New Roman"/>
                <w:color w:val="000000"/>
              </w:rPr>
              <w:t>Environmental Geology</w:t>
            </w:r>
          </w:p>
        </w:tc>
      </w:tr>
      <w:tr w:rsidR="009241BE" w:rsidRPr="0010008C" w:rsidTr="0017065C">
        <w:trPr>
          <w:trHeight w:val="288"/>
        </w:trPr>
        <w:tc>
          <w:tcPr>
            <w:tcW w:w="185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008C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008C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9241BE" w:rsidRPr="0010008C" w:rsidTr="0017065C">
        <w:trPr>
          <w:trHeight w:val="288"/>
        </w:trPr>
        <w:tc>
          <w:tcPr>
            <w:tcW w:w="185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SSC</w:t>
            </w:r>
            <w:r w:rsidRPr="0010008C">
              <w:rPr>
                <w:rFonts w:ascii="Calibri" w:eastAsia="Times New Roman" w:hAnsi="Calibri" w:cs="Times New Roman"/>
                <w:color w:val="000000"/>
              </w:rPr>
              <w:t xml:space="preserve"> 31150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008C">
              <w:rPr>
                <w:rFonts w:ascii="Calibri" w:eastAsia="Times New Roman" w:hAnsi="Calibri" w:cs="Times New Roman"/>
                <w:color w:val="000000"/>
              </w:rPr>
              <w:t>Environmental Sustainability and Social Justice</w:t>
            </w:r>
          </w:p>
        </w:tc>
      </w:tr>
      <w:tr w:rsidR="009241BE" w:rsidRPr="0010008C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10008C" w:rsidRDefault="009241BE" w:rsidP="00100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9241BE" w:rsidRPr="005F717A" w:rsidTr="00A633B3">
        <w:trPr>
          <w:trHeight w:val="341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9241BE" w:rsidRPr="005F717A" w:rsidTr="0017065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1CAA16B" wp14:editId="159F535A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164465</wp:posOffset>
                  </wp:positionV>
                  <wp:extent cx="1181100" cy="42672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9241BE" w:rsidRPr="005F717A">
              <w:trPr>
                <w:trHeight w:val="6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9241BE" w:rsidRPr="005F717A" w:rsidRDefault="009241BE" w:rsidP="005F71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F717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 College Option Logical-Philosophical Courses</w:t>
            </w:r>
            <w:r w:rsidRPr="005F717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F717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9241BE" w:rsidRPr="005F717A" w:rsidTr="00A633B3">
        <w:trPr>
          <w:trHeight w:val="450"/>
        </w:trPr>
        <w:tc>
          <w:tcPr>
            <w:tcW w:w="1852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</w:rPr>
              <w:t>PHIL 10200</w:t>
            </w:r>
          </w:p>
        </w:tc>
        <w:tc>
          <w:tcPr>
            <w:tcW w:w="7868" w:type="dxa"/>
            <w:gridSpan w:val="2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717A">
              <w:rPr>
                <w:rFonts w:ascii="Calibri" w:eastAsia="Times New Roman" w:hAnsi="Calibri" w:cs="Times New Roman"/>
              </w:rPr>
              <w:t>Intro to Philosophy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717A">
              <w:rPr>
                <w:rFonts w:ascii="Calibri" w:eastAsia="Times New Roman" w:hAnsi="Calibri" w:cs="Times New Roman"/>
              </w:rPr>
              <w:t>PHIL 20100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717A">
              <w:rPr>
                <w:rFonts w:ascii="Calibri" w:eastAsia="Times New Roman" w:hAnsi="Calibri" w:cs="Times New Roman"/>
              </w:rPr>
              <w:t>Logical Reasoning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PHIL 30800 </w:t>
            </w:r>
          </w:p>
        </w:tc>
        <w:tc>
          <w:tcPr>
            <w:tcW w:w="78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PHIL 32200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Philosophy of Science  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9241BE" w:rsidRPr="005F717A" w:rsidTr="00A633B3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</w:rPr>
              <w:t>PSC 12400</w:t>
            </w:r>
          </w:p>
        </w:tc>
        <w:tc>
          <w:tcPr>
            <w:tcW w:w="7868" w:type="dxa"/>
            <w:gridSpan w:val="2"/>
            <w:tcBorders>
              <w:top w:val="single" w:sz="4" w:space="0" w:color="8DB4E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17A">
              <w:rPr>
                <w:rFonts w:ascii="Calibri" w:eastAsia="Times New Roman" w:hAnsi="Calibri" w:cs="Times New Roman"/>
              </w:rPr>
              <w:t>Political Ideas and Issues</w:t>
            </w:r>
          </w:p>
        </w:tc>
      </w:tr>
      <w:tr w:rsidR="009241BE" w:rsidRPr="005F717A" w:rsidTr="0045164C">
        <w:trPr>
          <w:trHeight w:val="28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68" w:type="dxa"/>
            <w:gridSpan w:val="2"/>
            <w:tcBorders>
              <w:top w:val="single" w:sz="4" w:space="0" w:color="8DB4E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1BE" w:rsidRPr="005F717A" w:rsidRDefault="009241BE" w:rsidP="005F71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7550E" w:rsidRDefault="0097550E" w:rsidP="00955732"/>
    <w:sectPr w:rsidR="0097550E" w:rsidSect="009241BE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7A"/>
    <w:rsid w:val="0010008C"/>
    <w:rsid w:val="00133C4E"/>
    <w:rsid w:val="001468CA"/>
    <w:rsid w:val="0017065C"/>
    <w:rsid w:val="002353A7"/>
    <w:rsid w:val="00317EDB"/>
    <w:rsid w:val="005128CB"/>
    <w:rsid w:val="005F717A"/>
    <w:rsid w:val="00781222"/>
    <w:rsid w:val="009241BE"/>
    <w:rsid w:val="00955732"/>
    <w:rsid w:val="0097550E"/>
    <w:rsid w:val="009F797D"/>
    <w:rsid w:val="00E22953"/>
    <w:rsid w:val="00F75DE0"/>
    <w:rsid w:val="00F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15</cp:revision>
  <cp:lastPrinted>2019-11-06T16:39:00Z</cp:lastPrinted>
  <dcterms:created xsi:type="dcterms:W3CDTF">2019-10-10T15:59:00Z</dcterms:created>
  <dcterms:modified xsi:type="dcterms:W3CDTF">2019-11-20T19:33:00Z</dcterms:modified>
</cp:coreProperties>
</file>