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29" w:rsidRDefault="00F65529" w:rsidP="00F65529">
      <w:pPr>
        <w:pStyle w:val="Title"/>
        <w:rPr>
          <w:rFonts w:ascii="Times New Roman" w:eastAsia="Times New Roman" w:hAnsi="Times New Roman" w:cs="Times New Roman"/>
          <w:sz w:val="28"/>
          <w:szCs w:val="28"/>
        </w:rPr>
      </w:pPr>
      <w:bookmarkStart w:id="0" w:name="_ekrff3pn1u60" w:colFirst="0" w:colLast="0"/>
      <w:bookmarkEnd w:id="0"/>
      <w:r>
        <w:rPr>
          <w:sz w:val="36"/>
          <w:szCs w:val="36"/>
        </w:rPr>
        <w:t xml:space="preserve">CHEM 10300 </w:t>
      </w:r>
      <w:proofErr w:type="gramStart"/>
      <w:r w:rsidR="00382D68">
        <w:rPr>
          <w:sz w:val="36"/>
          <w:szCs w:val="36"/>
        </w:rPr>
        <w:t>Spring</w:t>
      </w:r>
      <w:proofErr w:type="gramEnd"/>
      <w:r w:rsidR="00382D68">
        <w:rPr>
          <w:sz w:val="36"/>
          <w:szCs w:val="36"/>
        </w:rPr>
        <w:t xml:space="preserve"> 2020 </w:t>
      </w:r>
      <w:r w:rsidRPr="00BB6436">
        <w:rPr>
          <w:sz w:val="36"/>
          <w:szCs w:val="36"/>
        </w:rPr>
        <w:t xml:space="preserve">Assessment Report </w:t>
      </w:r>
      <w:r>
        <w:rPr>
          <w:noProof/>
          <w:sz w:val="24"/>
          <w:szCs w:val="24"/>
          <w:lang w:val="en-US"/>
        </w:rPr>
        <w:drawing>
          <wp:inline distT="114300" distB="114300" distL="114300" distR="114300" wp14:anchorId="4A8D2B70" wp14:editId="24C8481F">
            <wp:extent cx="5943600" cy="38100"/>
            <wp:effectExtent l="0" t="0" r="0" b="0"/>
            <wp:docPr id="3" name="image7.png" descr="horizontal line"/>
            <wp:cNvGraphicFramePr/>
            <a:graphic xmlns:a="http://schemas.openxmlformats.org/drawingml/2006/main">
              <a:graphicData uri="http://schemas.openxmlformats.org/drawingml/2006/picture">
                <pic:pic xmlns:pic="http://schemas.openxmlformats.org/drawingml/2006/picture">
                  <pic:nvPicPr>
                    <pic:cNvPr id="0" name="image7.png" descr="horizontal line"/>
                    <pic:cNvPicPr preferRelativeResize="0"/>
                  </pic:nvPicPr>
                  <pic:blipFill>
                    <a:blip r:embed="rId4"/>
                    <a:srcRect/>
                    <a:stretch>
                      <a:fillRect/>
                    </a:stretch>
                  </pic:blipFill>
                  <pic:spPr>
                    <a:xfrm>
                      <a:off x="0" y="0"/>
                      <a:ext cx="5943600" cy="38100"/>
                    </a:xfrm>
                    <a:prstGeom prst="rect">
                      <a:avLst/>
                    </a:prstGeom>
                    <a:ln/>
                  </pic:spPr>
                </pic:pic>
              </a:graphicData>
            </a:graphic>
          </wp:inline>
        </w:drawing>
      </w:r>
    </w:p>
    <w:p w:rsidR="00F65529" w:rsidRDefault="00F65529" w:rsidP="00F65529">
      <w:pPr>
        <w:spacing w:before="0" w:line="240" w:lineRule="auto"/>
        <w:ind w:left="0"/>
        <w:rPr>
          <w:rFonts w:ascii="Times New Roman" w:eastAsia="Times New Roman" w:hAnsi="Times New Roman" w:cs="Times New Roman"/>
          <w:sz w:val="28"/>
          <w:szCs w:val="28"/>
        </w:rPr>
      </w:pPr>
    </w:p>
    <w:tbl>
      <w:tblPr>
        <w:tblW w:w="9540" w:type="dxa"/>
        <w:tblInd w:w="100" w:type="dxa"/>
        <w:tblBorders>
          <w:top w:val="single" w:sz="4" w:space="0" w:color="8C7252"/>
          <w:left w:val="single" w:sz="4" w:space="0" w:color="8C7252"/>
          <w:bottom w:val="single" w:sz="4" w:space="0" w:color="8C7252"/>
          <w:right w:val="single" w:sz="4" w:space="0" w:color="8C7252"/>
          <w:insideH w:val="single" w:sz="4" w:space="0" w:color="8C7252"/>
          <w:insideV w:val="single" w:sz="4" w:space="0" w:color="8C7252"/>
        </w:tblBorders>
        <w:tblLayout w:type="fixed"/>
        <w:tblLook w:val="0600" w:firstRow="0" w:lastRow="0" w:firstColumn="0" w:lastColumn="0" w:noHBand="1" w:noVBand="1"/>
      </w:tblPr>
      <w:tblGrid>
        <w:gridCol w:w="4215"/>
        <w:gridCol w:w="5325"/>
      </w:tblGrid>
      <w:tr w:rsidR="00F65529" w:rsidTr="00263E97">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rFonts w:ascii="Times New Roman" w:eastAsia="Times New Roman" w:hAnsi="Times New Roman" w:cs="Times New Roman"/>
                <w:sz w:val="28"/>
                <w:szCs w:val="28"/>
              </w:rPr>
            </w:pPr>
            <w:r>
              <w:rPr>
                <w:sz w:val="24"/>
                <w:szCs w:val="24"/>
              </w:rPr>
              <w:t>Date of report:</w:t>
            </w:r>
          </w:p>
        </w:tc>
        <w:tc>
          <w:tcPr>
            <w:tcW w:w="5325" w:type="dxa"/>
            <w:shd w:val="clear" w:color="auto" w:fill="auto"/>
            <w:tcMar>
              <w:top w:w="100" w:type="dxa"/>
              <w:left w:w="100" w:type="dxa"/>
              <w:bottom w:w="100" w:type="dxa"/>
              <w:right w:w="100" w:type="dxa"/>
            </w:tcMar>
          </w:tcPr>
          <w:p w:rsidR="00F65529" w:rsidRDefault="00382D68" w:rsidP="00263E97">
            <w:pPr>
              <w:widowControl w:val="0"/>
              <w:spacing w:before="0" w:line="240" w:lineRule="auto"/>
              <w:ind w:left="0"/>
              <w:rPr>
                <w:b/>
                <w:sz w:val="24"/>
                <w:szCs w:val="24"/>
              </w:rPr>
            </w:pPr>
            <w:r>
              <w:rPr>
                <w:b/>
                <w:sz w:val="24"/>
                <w:szCs w:val="24"/>
              </w:rPr>
              <w:t>June 2020</w:t>
            </w:r>
          </w:p>
        </w:tc>
      </w:tr>
      <w:tr w:rsidR="00F65529" w:rsidTr="00263E97">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rFonts w:ascii="Times New Roman" w:eastAsia="Times New Roman" w:hAnsi="Times New Roman" w:cs="Times New Roman"/>
                <w:sz w:val="28"/>
                <w:szCs w:val="28"/>
              </w:rPr>
            </w:pPr>
            <w:r>
              <w:rPr>
                <w:sz w:val="24"/>
                <w:szCs w:val="24"/>
              </w:rPr>
              <w:t>Course:</w:t>
            </w:r>
          </w:p>
        </w:tc>
        <w:tc>
          <w:tcPr>
            <w:tcW w:w="5325" w:type="dxa"/>
            <w:shd w:val="clear" w:color="auto" w:fill="auto"/>
            <w:tcMar>
              <w:top w:w="100" w:type="dxa"/>
              <w:left w:w="100" w:type="dxa"/>
              <w:bottom w:w="100" w:type="dxa"/>
              <w:right w:w="100" w:type="dxa"/>
            </w:tcMar>
          </w:tcPr>
          <w:p w:rsidR="00F65529" w:rsidRDefault="00382D68" w:rsidP="00263E97">
            <w:pPr>
              <w:spacing w:before="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General Chemistry I</w:t>
            </w:r>
          </w:p>
        </w:tc>
      </w:tr>
      <w:tr w:rsidR="00F65529" w:rsidTr="00263E97">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rFonts w:ascii="Times New Roman" w:eastAsia="Times New Roman" w:hAnsi="Times New Roman" w:cs="Times New Roman"/>
                <w:sz w:val="28"/>
                <w:szCs w:val="28"/>
              </w:rPr>
            </w:pPr>
            <w:r>
              <w:rPr>
                <w:sz w:val="24"/>
                <w:szCs w:val="24"/>
              </w:rPr>
              <w:t>Materials used:</w:t>
            </w:r>
          </w:p>
        </w:tc>
        <w:tc>
          <w:tcPr>
            <w:tcW w:w="5325" w:type="dxa"/>
            <w:shd w:val="clear" w:color="auto" w:fill="auto"/>
            <w:tcMar>
              <w:top w:w="100" w:type="dxa"/>
              <w:left w:w="100" w:type="dxa"/>
              <w:bottom w:w="100" w:type="dxa"/>
              <w:right w:w="100" w:type="dxa"/>
            </w:tcMar>
          </w:tcPr>
          <w:p w:rsidR="00F65529" w:rsidRDefault="008A547F" w:rsidP="00263E97">
            <w:pPr>
              <w:spacing w:before="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Surveys,</w:t>
            </w:r>
            <w:r w:rsidR="00974DB8">
              <w:rPr>
                <w:rFonts w:ascii="Times New Roman" w:eastAsia="Times New Roman" w:hAnsi="Times New Roman" w:cs="Times New Roman"/>
                <w:sz w:val="28"/>
                <w:szCs w:val="28"/>
              </w:rPr>
              <w:t xml:space="preserve"> homework </w:t>
            </w:r>
            <w:proofErr w:type="spellStart"/>
            <w:r w:rsidR="00974DB8">
              <w:rPr>
                <w:rFonts w:ascii="Times New Roman" w:eastAsia="Times New Roman" w:hAnsi="Times New Roman" w:cs="Times New Roman"/>
                <w:sz w:val="28"/>
                <w:szCs w:val="28"/>
              </w:rPr>
              <w:t>assignements</w:t>
            </w:r>
            <w:proofErr w:type="spellEnd"/>
          </w:p>
        </w:tc>
      </w:tr>
      <w:tr w:rsidR="00F65529" w:rsidTr="00263E97">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sz w:val="24"/>
                <w:szCs w:val="24"/>
              </w:rPr>
            </w:pPr>
            <w:r>
              <w:rPr>
                <w:sz w:val="24"/>
                <w:szCs w:val="24"/>
              </w:rPr>
              <w:t>Preliminary Assessment Team Members:</w:t>
            </w:r>
          </w:p>
        </w:tc>
        <w:tc>
          <w:tcPr>
            <w:tcW w:w="5325" w:type="dxa"/>
            <w:shd w:val="clear" w:color="auto" w:fill="auto"/>
            <w:tcMar>
              <w:top w:w="100" w:type="dxa"/>
              <w:left w:w="100" w:type="dxa"/>
              <w:bottom w:w="100" w:type="dxa"/>
              <w:right w:w="100" w:type="dxa"/>
            </w:tcMar>
            <w:vAlign w:val="center"/>
          </w:tcPr>
          <w:p w:rsidR="00F65529" w:rsidRDefault="008A547F" w:rsidP="00263E97">
            <w:pPr>
              <w:spacing w:before="0" w:line="240" w:lineRule="auto"/>
              <w:ind w:left="0"/>
              <w:rPr>
                <w:b/>
                <w:sz w:val="24"/>
                <w:szCs w:val="24"/>
              </w:rPr>
            </w:pPr>
            <w:r>
              <w:rPr>
                <w:b/>
                <w:sz w:val="24"/>
                <w:szCs w:val="24"/>
              </w:rPr>
              <w:t>Chemistry department faculty and Chair</w:t>
            </w:r>
          </w:p>
        </w:tc>
      </w:tr>
      <w:tr w:rsidR="00F65529" w:rsidTr="00263E97">
        <w:trPr>
          <w:trHeight w:val="259"/>
        </w:trPr>
        <w:tc>
          <w:tcPr>
            <w:tcW w:w="4215" w:type="dxa"/>
            <w:shd w:val="clear" w:color="auto" w:fill="auto"/>
            <w:tcMar>
              <w:top w:w="100" w:type="dxa"/>
              <w:left w:w="100" w:type="dxa"/>
              <w:bottom w:w="100" w:type="dxa"/>
              <w:right w:w="100" w:type="dxa"/>
            </w:tcMar>
          </w:tcPr>
          <w:p w:rsidR="00F65529" w:rsidRDefault="00F65529" w:rsidP="00263E97">
            <w:pPr>
              <w:spacing w:before="0" w:line="240" w:lineRule="auto"/>
              <w:ind w:left="0"/>
              <w:rPr>
                <w:sz w:val="24"/>
                <w:szCs w:val="24"/>
              </w:rPr>
            </w:pPr>
            <w:r>
              <w:rPr>
                <w:sz w:val="24"/>
                <w:szCs w:val="24"/>
              </w:rPr>
              <w:t>Coordination/ Oversight:</w:t>
            </w:r>
          </w:p>
        </w:tc>
        <w:tc>
          <w:tcPr>
            <w:tcW w:w="5325" w:type="dxa"/>
            <w:shd w:val="clear" w:color="auto" w:fill="auto"/>
            <w:tcMar>
              <w:top w:w="100" w:type="dxa"/>
              <w:left w:w="100" w:type="dxa"/>
              <w:bottom w:w="100" w:type="dxa"/>
              <w:right w:w="100" w:type="dxa"/>
            </w:tcMar>
            <w:vAlign w:val="center"/>
          </w:tcPr>
          <w:p w:rsidR="00F65529" w:rsidRDefault="00F65529" w:rsidP="00263E97">
            <w:pPr>
              <w:spacing w:before="0" w:line="240" w:lineRule="auto"/>
              <w:ind w:left="0"/>
              <w:rPr>
                <w:b/>
                <w:sz w:val="24"/>
                <w:szCs w:val="24"/>
              </w:rPr>
            </w:pPr>
            <w:r>
              <w:rPr>
                <w:b/>
                <w:sz w:val="24"/>
                <w:szCs w:val="24"/>
              </w:rPr>
              <w:t xml:space="preserve">Ana </w:t>
            </w:r>
            <w:proofErr w:type="spellStart"/>
            <w:r>
              <w:rPr>
                <w:b/>
                <w:sz w:val="24"/>
                <w:szCs w:val="24"/>
              </w:rPr>
              <w:t>Vasovic</w:t>
            </w:r>
            <w:proofErr w:type="spellEnd"/>
          </w:p>
        </w:tc>
      </w:tr>
    </w:tbl>
    <w:p w:rsidR="00F65529" w:rsidRDefault="00F65529" w:rsidP="00F65529">
      <w:pPr>
        <w:spacing w:before="0" w:line="240" w:lineRule="auto"/>
        <w:ind w:left="0"/>
        <w:rPr>
          <w:sz w:val="24"/>
          <w:szCs w:val="24"/>
        </w:rPr>
      </w:pPr>
    </w:p>
    <w:p w:rsidR="008A547F" w:rsidRDefault="008A547F" w:rsidP="008A547F">
      <w:bookmarkStart w:id="1" w:name="_3x65vbqbeh8n" w:colFirst="0" w:colLast="0"/>
      <w:bookmarkEnd w:id="1"/>
      <w:r>
        <w:t>COURSE OVERVIEW</w:t>
      </w:r>
    </w:p>
    <w:p w:rsidR="008A547F" w:rsidRDefault="008A547F" w:rsidP="008A547F">
      <w:r>
        <w:t xml:space="preserve">General Chemistry I (CHEM 10300) description: </w:t>
      </w:r>
      <w:r w:rsidRPr="00F65529">
        <w:t xml:space="preserve">This course is the first of a two-semester sequence and </w:t>
      </w:r>
      <w:proofErr w:type="gramStart"/>
      <w:r w:rsidRPr="00F65529">
        <w:t>provides an in-depth introduction to</w:t>
      </w:r>
      <w:proofErr w:type="gramEnd"/>
      <w:r w:rsidRPr="00F65529">
        <w:t xml:space="preserve"> the fundamental laws and techniques of chemistry for majors in science and engineering.  Topics </w:t>
      </w:r>
      <w:proofErr w:type="gramStart"/>
      <w:r w:rsidRPr="00F65529">
        <w:t>include:</w:t>
      </w:r>
      <w:proofErr w:type="gramEnd"/>
      <w:r w:rsidRPr="00F65529">
        <w:t xml:space="preserve"> measurement; stoichiometry; the gaseous state; thermochemistry; atomic structure; chemical bonding; redox reactions; solids, liquids and intermolecular forces. It consists of three components (lecture, laboratory, and recitation), which are integrated to provide a comprehensive but thorough introduction to the principles of chemistry.  The laboratory component introduces students to common laboratory methods including visible spectroscopy and titration.  The recitation aims to show how the concepts covered in lecture are applied in practice in solving problems.</w:t>
      </w:r>
      <w:r>
        <w:t xml:space="preserve"> The course allows STEM major to receive credit in the Lif</w:t>
      </w:r>
      <w:r w:rsidR="00974DB8">
        <w:t>e and Physical Sciences or Scientific World</w:t>
      </w:r>
      <w:r>
        <w:t xml:space="preserve"> </w:t>
      </w:r>
      <w:r w:rsidR="00974DB8">
        <w:t xml:space="preserve">category </w:t>
      </w:r>
      <w:r>
        <w:t>of Pathways General Education requirements</w:t>
      </w:r>
      <w:r w:rsidRPr="00974DB8">
        <w:rPr>
          <w:color w:val="auto"/>
        </w:rPr>
        <w:t xml:space="preserve">. It is taught as a large lecture (300+ students) with lab and recitation sections (up to 20 students each). </w:t>
      </w:r>
      <w:bookmarkStart w:id="2" w:name="_2gq1cswaibrz" w:colFirst="0" w:colLast="0"/>
      <w:bookmarkStart w:id="3" w:name="_gkrigaypwzqe" w:colFirst="0" w:colLast="0"/>
      <w:bookmarkEnd w:id="2"/>
      <w:bookmarkEnd w:id="3"/>
    </w:p>
    <w:p w:rsidR="008A547F" w:rsidRDefault="008A547F" w:rsidP="00382D68">
      <w:pPr>
        <w:pStyle w:val="NoSpacing"/>
        <w:rPr>
          <w:rFonts w:cs="Gill Sans"/>
          <w:sz w:val="28"/>
          <w:szCs w:val="28"/>
        </w:rPr>
      </w:pPr>
    </w:p>
    <w:p w:rsidR="00382D68" w:rsidRPr="008A547F" w:rsidRDefault="008A547F" w:rsidP="00382D68">
      <w:pPr>
        <w:pStyle w:val="NoSpacing"/>
        <w:rPr>
          <w:rFonts w:cs="Gill Sans"/>
          <w:sz w:val="28"/>
          <w:szCs w:val="28"/>
        </w:rPr>
      </w:pPr>
      <w:r w:rsidRPr="008A547F">
        <w:rPr>
          <w:rFonts w:cs="Gill Sans"/>
          <w:sz w:val="28"/>
          <w:szCs w:val="28"/>
        </w:rPr>
        <w:t>GOAL</w:t>
      </w:r>
    </w:p>
    <w:p w:rsidR="00382D68" w:rsidRDefault="00382D68" w:rsidP="00382D68">
      <w:r w:rsidRPr="00382D68">
        <w:t>Introduce components of flipped classroom innovative instructional approaches to General Chemistry I (CHEM 103) drawing from approaches tested at other institut</w:t>
      </w:r>
      <w:r w:rsidR="008A547F">
        <w:t>ions (including Lehman College)</w:t>
      </w:r>
      <w:r w:rsidRPr="00382D68">
        <w:t xml:space="preserve"> via prerecorded video lectures and apportion more lecture time to problem solving</w:t>
      </w:r>
      <w:r w:rsidR="008A547F">
        <w:t>.</w:t>
      </w:r>
    </w:p>
    <w:p w:rsidR="008A547F" w:rsidRDefault="008A547F" w:rsidP="00382D68">
      <w:bookmarkStart w:id="4" w:name="_GoBack"/>
      <w:bookmarkEnd w:id="4"/>
      <w:r>
        <w:t>METHODOLOGY</w:t>
      </w:r>
    </w:p>
    <w:p w:rsidR="00382D68" w:rsidRDefault="008A547F" w:rsidP="00382D68">
      <w:r>
        <w:t>Student engagement was gaged through (a) s</w:t>
      </w:r>
      <w:r w:rsidR="00382D68" w:rsidRPr="00382D68">
        <w:t>tudent survey for comprehension/ appreciation of course materials</w:t>
      </w:r>
      <w:r>
        <w:t xml:space="preserve"> and (b) comparison of the</w:t>
      </w:r>
      <w:r w:rsidR="00382D68" w:rsidRPr="00382D68">
        <w:t xml:space="preserve"> number of students who compl</w:t>
      </w:r>
      <w:r>
        <w:t>ete HW vs previous years along with HW performance.</w:t>
      </w:r>
    </w:p>
    <w:p w:rsidR="008A547F" w:rsidRDefault="008A547F" w:rsidP="00382D68">
      <w:r>
        <w:lastRenderedPageBreak/>
        <w:t>OVERVIEW</w:t>
      </w:r>
    </w:p>
    <w:p w:rsidR="00382D68" w:rsidRDefault="00382D68" w:rsidP="00382D68">
      <w:r>
        <w:t>Flipped classroom elements were applied during Spring 20 in one section of General Chemistry II, enrollment of 201. Two main components were piloted:</w:t>
      </w:r>
    </w:p>
    <w:p w:rsidR="00382D68" w:rsidRDefault="00382D68" w:rsidP="00382D68">
      <w:r>
        <w:t>(</w:t>
      </w:r>
      <w:proofErr w:type="spellStart"/>
      <w:r>
        <w:t>i</w:t>
      </w:r>
      <w:proofErr w:type="spellEnd"/>
      <w:r>
        <w:t xml:space="preserve">) Integration of videos for learning outside of the classroom. </w:t>
      </w:r>
      <w:proofErr w:type="gramStart"/>
      <w:r>
        <w:t>36</w:t>
      </w:r>
      <w:proofErr w:type="gramEnd"/>
      <w:r>
        <w:t xml:space="preserve"> videos were made available via Blackboard: 30 from chemistry learning content available on YouTube and 6 created by instructors. Due to COVID-19, video content was especially timely and useful. Data statistics show &gt;90% of students viewed the videos. E.g.  Instructor-created video “acid-base chemistry” had 629 views by 244 unique viewers (an average of 2.6 views per viewer). Data analysis indicates optimal average duration is 12 minutes.</w:t>
      </w:r>
    </w:p>
    <w:p w:rsidR="00382D68" w:rsidRDefault="00382D68" w:rsidP="00382D68">
      <w:r>
        <w:t xml:space="preserve">(ii) In-class problem solving/active learning administered through </w:t>
      </w:r>
      <w:proofErr w:type="spellStart"/>
      <w:r>
        <w:t>iClickers</w:t>
      </w:r>
      <w:proofErr w:type="spellEnd"/>
      <w:r>
        <w:t xml:space="preserve"> to assess student comprehension of concepts and calculations in real time. Participation was incentivized by cumulative </w:t>
      </w:r>
      <w:proofErr w:type="spellStart"/>
      <w:r>
        <w:t>iClicker</w:t>
      </w:r>
      <w:proofErr w:type="spellEnd"/>
      <w:r>
        <w:t xml:space="preserve"> score contributing to 10% of the final grade. Built-in assessments showed: 97% lecture attendance rates; &gt;30% increased engagement during lectures</w:t>
      </w:r>
      <w:proofErr w:type="gramStart"/>
      <w:r>
        <w:t>;</w:t>
      </w:r>
      <w:proofErr w:type="gramEnd"/>
      <w:r>
        <w:t xml:space="preserve"> 0.6 positive correlation coefficient between </w:t>
      </w:r>
      <w:proofErr w:type="spellStart"/>
      <w:r>
        <w:t>iClicker</w:t>
      </w:r>
      <w:proofErr w:type="spellEnd"/>
      <w:r>
        <w:t xml:space="preserve"> scores and exam performance.</w:t>
      </w:r>
    </w:p>
    <w:p w:rsidR="008A547F" w:rsidRDefault="008A547F" w:rsidP="00382D68">
      <w:r>
        <w:t>ASSESSMENT FINDINGS</w:t>
      </w:r>
    </w:p>
    <w:p w:rsidR="00382D68" w:rsidRDefault="00382D68" w:rsidP="00382D68">
      <w:r>
        <w:t>Surveys: Students were surveyed on the use of flipped classroom learning tools (</w:t>
      </w:r>
      <w:proofErr w:type="spellStart"/>
      <w:r>
        <w:t>iClicker</w:t>
      </w:r>
      <w:proofErr w:type="spellEnd"/>
      <w:r>
        <w:t xml:space="preserve"> and videos). Out of 201 students who were surveyed, 35 responded as follows:</w:t>
      </w:r>
    </w:p>
    <w:p w:rsidR="00382D68" w:rsidRDefault="00382D68" w:rsidP="00382D68">
      <w:r>
        <w:t xml:space="preserve">Use of </w:t>
      </w:r>
      <w:proofErr w:type="spellStart"/>
      <w:r>
        <w:t>iClicker</w:t>
      </w:r>
      <w:proofErr w:type="spellEnd"/>
      <w:r>
        <w:t xml:space="preserve">: 51% felt that </w:t>
      </w:r>
      <w:proofErr w:type="spellStart"/>
      <w:r>
        <w:t>iClicker</w:t>
      </w:r>
      <w:proofErr w:type="spellEnd"/>
      <w:r>
        <w:t xml:space="preserve"> increased their problem solving skills; 26% were neutral; 22% disagreed.</w:t>
      </w:r>
    </w:p>
    <w:p w:rsidR="00382D68" w:rsidRDefault="00382D68" w:rsidP="00382D68">
      <w:r>
        <w:t>Instructor Videos: 63% felt the instructor videos improved their understanding of concepts in chemistry and those covered in the course; 23% were neutral; 14% disagreed.</w:t>
      </w:r>
    </w:p>
    <w:p w:rsidR="00382D68" w:rsidRDefault="00382D68" w:rsidP="00382D68">
      <w:r>
        <w:t>Use of flipped learning tools for hybrid experience: 72% felt that the inclusion of the flipped learning tools were overall beneficial and contributed to an improvement in their course grade; 14% were neutral; 14% disagreed.</w:t>
      </w:r>
    </w:p>
    <w:p w:rsidR="00382D68" w:rsidRDefault="00382D68" w:rsidP="00382D68">
      <w:r>
        <w:t xml:space="preserve">Comments were highly in favor of the potential of the flipped learning tools, but comments were also directed at the difficulties of </w:t>
      </w:r>
      <w:proofErr w:type="gramStart"/>
      <w:r>
        <w:t>full scale</w:t>
      </w:r>
      <w:proofErr w:type="gramEnd"/>
      <w:r>
        <w:t xml:space="preserve"> remote instruction, indicating the importance of in-person activities and instruction. Videos were popular due to the opportunity to play multiple times and concentrate at will, while </w:t>
      </w:r>
      <w:proofErr w:type="spellStart"/>
      <w:r>
        <w:t>iClicker</w:t>
      </w:r>
      <w:proofErr w:type="spellEnd"/>
      <w:r>
        <w:t xml:space="preserve"> presented opportunities of earning credit and active participation.</w:t>
      </w:r>
    </w:p>
    <w:p w:rsidR="00382D68" w:rsidRDefault="00382D68" w:rsidP="00382D68">
      <w:r>
        <w:lastRenderedPageBreak/>
        <w:t xml:space="preserve">Homework: All students enrolled with </w:t>
      </w:r>
      <w:proofErr w:type="gramStart"/>
      <w:r>
        <w:t>ALEKS which</w:t>
      </w:r>
      <w:proofErr w:type="gramEnd"/>
      <w:r>
        <w:t xml:space="preserve"> was higher than previous years, for which enrollment was always less than 100%. 87.7% of the students attempted to complete the HW series as compared to previous years (2017-19) 75-85% range. </w:t>
      </w:r>
    </w:p>
    <w:p w:rsidR="00382D68" w:rsidRDefault="00382D68" w:rsidP="00382D68">
      <w:r>
        <w:t xml:space="preserve">Course pass rates analysis indicates improved engagement and success (81.8% in Spring 20 </w:t>
      </w:r>
      <w:proofErr w:type="gramStart"/>
      <w:r>
        <w:t>vs.79.2%</w:t>
      </w:r>
      <w:proofErr w:type="gramEnd"/>
      <w:r>
        <w:t xml:space="preserve"> before). </w:t>
      </w:r>
    </w:p>
    <w:tbl>
      <w:tblPr>
        <w:tblStyle w:val="TableGrid"/>
        <w:tblW w:w="0" w:type="auto"/>
        <w:tblLook w:val="04A0" w:firstRow="1" w:lastRow="0" w:firstColumn="1" w:lastColumn="0" w:noHBand="0" w:noVBand="1"/>
      </w:tblPr>
      <w:tblGrid>
        <w:gridCol w:w="1814"/>
        <w:gridCol w:w="1815"/>
        <w:gridCol w:w="1815"/>
      </w:tblGrid>
      <w:tr w:rsidR="00382D68" w:rsidRPr="007E464A" w:rsidTr="009C1CD1">
        <w:tc>
          <w:tcPr>
            <w:tcW w:w="1814" w:type="dxa"/>
          </w:tcPr>
          <w:p w:rsidR="00382D68" w:rsidRPr="007E464A" w:rsidRDefault="00382D68" w:rsidP="009C1CD1">
            <w:pPr>
              <w:rPr>
                <w:rFonts w:asciiTheme="minorHAnsi" w:hAnsiTheme="minorHAnsi" w:cstheme="minorHAnsi"/>
                <w:sz w:val="20"/>
                <w:szCs w:val="20"/>
              </w:rPr>
            </w:pP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Spring 20</w:t>
            </w: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Fa 17-Fa 18</w:t>
            </w:r>
          </w:p>
        </w:tc>
      </w:tr>
      <w:tr w:rsidR="00382D68" w:rsidRPr="007E464A" w:rsidTr="009C1CD1">
        <w:tc>
          <w:tcPr>
            <w:tcW w:w="1814"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A range</w:t>
            </w: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34.9%;</w:t>
            </w: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34.5%</w:t>
            </w:r>
          </w:p>
        </w:tc>
      </w:tr>
      <w:tr w:rsidR="00382D68" w:rsidRPr="007E464A" w:rsidTr="009C1CD1">
        <w:tc>
          <w:tcPr>
            <w:tcW w:w="1814"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B range</w:t>
            </w: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 xml:space="preserve">33.3%; </w:t>
            </w: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25.7%</w:t>
            </w:r>
          </w:p>
        </w:tc>
      </w:tr>
      <w:tr w:rsidR="00382D68" w:rsidRPr="007E464A" w:rsidTr="009C1CD1">
        <w:tc>
          <w:tcPr>
            <w:tcW w:w="1814"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C+/C range</w:t>
            </w: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 xml:space="preserve">13.5%;  </w:t>
            </w: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19.0%</w:t>
            </w:r>
          </w:p>
        </w:tc>
      </w:tr>
      <w:tr w:rsidR="00382D68" w:rsidRPr="007E464A" w:rsidTr="009C1CD1">
        <w:tc>
          <w:tcPr>
            <w:tcW w:w="1814"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C- or below</w:t>
            </w: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 xml:space="preserve">18.2%.  </w:t>
            </w:r>
          </w:p>
        </w:tc>
        <w:tc>
          <w:tcPr>
            <w:tcW w:w="1815" w:type="dxa"/>
          </w:tcPr>
          <w:p w:rsidR="00382D68" w:rsidRPr="007E464A" w:rsidRDefault="00382D68" w:rsidP="009C1CD1">
            <w:pPr>
              <w:rPr>
                <w:rFonts w:asciiTheme="minorHAnsi" w:hAnsiTheme="minorHAnsi" w:cstheme="minorHAnsi"/>
                <w:sz w:val="20"/>
                <w:szCs w:val="20"/>
              </w:rPr>
            </w:pPr>
            <w:r w:rsidRPr="007E464A">
              <w:rPr>
                <w:rFonts w:asciiTheme="minorHAnsi" w:hAnsiTheme="minorHAnsi" w:cstheme="minorHAnsi"/>
                <w:sz w:val="20"/>
                <w:szCs w:val="20"/>
              </w:rPr>
              <w:t>20.8%</w:t>
            </w:r>
          </w:p>
        </w:tc>
      </w:tr>
    </w:tbl>
    <w:p w:rsidR="008A547F" w:rsidRDefault="008A547F" w:rsidP="00382D68">
      <w:r>
        <w:t>CONCLUSION</w:t>
      </w:r>
    </w:p>
    <w:p w:rsidR="00382D68" w:rsidRDefault="00382D68" w:rsidP="00382D68">
      <w:r w:rsidRPr="00382D68">
        <w:t>Students generally supported the use of the flipped modes of instruction, and the modes seem to have contributed to student success. The department will continue to utilize these learning tools (</w:t>
      </w:r>
      <w:proofErr w:type="spellStart"/>
      <w:r w:rsidRPr="00382D68">
        <w:t>iClicker</w:t>
      </w:r>
      <w:proofErr w:type="spellEnd"/>
      <w:r w:rsidRPr="00382D68">
        <w:t>/videos) and further explore the concept of hybrid classroom learning.</w:t>
      </w:r>
    </w:p>
    <w:p w:rsidR="00F65529" w:rsidRDefault="00F65529" w:rsidP="00F65529">
      <w:pPr>
        <w:spacing w:before="0" w:line="240" w:lineRule="auto"/>
        <w:ind w:left="0"/>
      </w:pPr>
      <w:bookmarkStart w:id="5" w:name="_nau3zef1d351" w:colFirst="0" w:colLast="0"/>
      <w:bookmarkEnd w:id="5"/>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F65529" w:rsidRDefault="00F65529" w:rsidP="00F65529">
      <w:pPr>
        <w:spacing w:before="0" w:line="240" w:lineRule="auto"/>
        <w:ind w:left="0"/>
      </w:pPr>
    </w:p>
    <w:p w:rsidR="00243241" w:rsidRDefault="00974DB8"/>
    <w:sectPr w:rsidR="00243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Economica">
    <w:altName w:val="Times New Roman"/>
    <w:charset w:val="00"/>
    <w:family w:val="auto"/>
    <w:pitch w:val="default"/>
  </w:font>
  <w:font w:name="Gill Sans">
    <w:charset w:val="00"/>
    <w:family w:val="auto"/>
    <w:pitch w:val="variable"/>
    <w:sig w:usb0="800002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29"/>
    <w:rsid w:val="00382D68"/>
    <w:rsid w:val="00555452"/>
    <w:rsid w:val="008A547F"/>
    <w:rsid w:val="00974DB8"/>
    <w:rsid w:val="009D372B"/>
    <w:rsid w:val="00AE57D6"/>
    <w:rsid w:val="00F6100E"/>
    <w:rsid w:val="00F6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85F7"/>
  <w15:chartTrackingRefBased/>
  <w15:docId w15:val="{9634C86D-C73E-430F-B72A-59A00D64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29"/>
    <w:pPr>
      <w:pBdr>
        <w:top w:val="nil"/>
        <w:left w:val="nil"/>
        <w:bottom w:val="nil"/>
        <w:right w:val="nil"/>
        <w:between w:val="nil"/>
      </w:pBdr>
      <w:spacing w:before="200" w:after="0" w:line="360" w:lineRule="auto"/>
      <w:ind w:left="-15"/>
    </w:pPr>
    <w:rPr>
      <w:rFonts w:ascii="Open Sans" w:eastAsia="Open Sans" w:hAnsi="Open Sans" w:cs="Open Sans"/>
      <w:color w:val="000000"/>
      <w:lang w:val="en"/>
    </w:rPr>
  </w:style>
  <w:style w:type="paragraph" w:styleId="Heading1">
    <w:name w:val="heading 1"/>
    <w:basedOn w:val="Normal"/>
    <w:next w:val="Normal"/>
    <w:link w:val="Heading1Char"/>
    <w:uiPriority w:val="9"/>
    <w:qFormat/>
    <w:rsid w:val="00F65529"/>
    <w:pP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529"/>
    <w:rPr>
      <w:rFonts w:ascii="Open Sans" w:eastAsia="Open Sans" w:hAnsi="Open Sans" w:cs="Open Sans"/>
      <w:b/>
      <w:color w:val="000000"/>
      <w:sz w:val="32"/>
      <w:szCs w:val="32"/>
      <w:lang w:val="en"/>
    </w:rPr>
  </w:style>
  <w:style w:type="paragraph" w:styleId="Title">
    <w:name w:val="Title"/>
    <w:basedOn w:val="Normal"/>
    <w:next w:val="Normal"/>
    <w:link w:val="TitleChar"/>
    <w:qFormat/>
    <w:rsid w:val="00F65529"/>
    <w:pPr>
      <w:spacing w:before="0" w:line="240" w:lineRule="auto"/>
      <w:ind w:left="0" w:firstLine="15"/>
    </w:pPr>
    <w:rPr>
      <w:rFonts w:ascii="Economica" w:eastAsia="Economica" w:hAnsi="Economica" w:cs="Economica"/>
      <w:sz w:val="60"/>
      <w:szCs w:val="60"/>
    </w:rPr>
  </w:style>
  <w:style w:type="character" w:customStyle="1" w:styleId="TitleChar">
    <w:name w:val="Title Char"/>
    <w:basedOn w:val="DefaultParagraphFont"/>
    <w:link w:val="Title"/>
    <w:rsid w:val="00F65529"/>
    <w:rPr>
      <w:rFonts w:ascii="Economica" w:eastAsia="Economica" w:hAnsi="Economica" w:cs="Economica"/>
      <w:color w:val="000000"/>
      <w:sz w:val="60"/>
      <w:szCs w:val="60"/>
      <w:lang w:val="en"/>
    </w:rPr>
  </w:style>
  <w:style w:type="paragraph" w:styleId="NoSpacing">
    <w:name w:val="No Spacing"/>
    <w:uiPriority w:val="1"/>
    <w:qFormat/>
    <w:rsid w:val="00F65529"/>
    <w:pPr>
      <w:spacing w:after="0" w:line="240" w:lineRule="auto"/>
    </w:pPr>
  </w:style>
  <w:style w:type="table" w:styleId="TableGrid">
    <w:name w:val="Table Grid"/>
    <w:basedOn w:val="TableNormal"/>
    <w:uiPriority w:val="59"/>
    <w:rsid w:val="00382D68"/>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Provost Office A218</dc:creator>
  <cp:keywords/>
  <dc:description/>
  <cp:lastModifiedBy>Provost Office A218</cp:lastModifiedBy>
  <cp:revision>2</cp:revision>
  <dcterms:created xsi:type="dcterms:W3CDTF">2021-04-26T20:13:00Z</dcterms:created>
  <dcterms:modified xsi:type="dcterms:W3CDTF">2021-04-26T20:13:00Z</dcterms:modified>
</cp:coreProperties>
</file>