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4190" w14:textId="4FE75EAD" w:rsidR="00C768FE" w:rsidRPr="00C768FE" w:rsidRDefault="00C768FE" w:rsidP="00C768FE">
      <w:pPr>
        <w:spacing w:before="120" w:after="120"/>
        <w:ind w:left="576"/>
        <w:rPr>
          <w:rFonts w:cs="Times New Roman"/>
          <w:color w:val="262626" w:themeColor="text1" w:themeTint="D9"/>
        </w:rPr>
      </w:pPr>
      <w:r w:rsidRPr="00C768FE">
        <w:rPr>
          <w:rFonts w:ascii="Franklin Gothic Book" w:hAnsi="Franklin Gothic Book"/>
          <w:color w:val="262626" w:themeColor="text1" w:themeTint="D9"/>
          <w:sz w:val="20"/>
          <w:szCs w:val="20"/>
        </w:rPr>
        <w:br/>
      </w: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>Students must complete all of the requirements of the lower step before moving ahead. Transfer students should work with their department advisor to quickly fill any gaps.</w:t>
      </w:r>
    </w:p>
    <w:p w14:paraId="0E8CC461" w14:textId="33C30DDC" w:rsidR="000C3EF9" w:rsidRPr="00C768FE" w:rsidRDefault="00C768FE" w:rsidP="00C768FE">
      <w:pPr>
        <w:ind w:left="576"/>
        <w:rPr>
          <w:color w:val="262626" w:themeColor="text1" w:themeTint="D9"/>
          <w:sz w:val="20"/>
          <w:szCs w:val="20"/>
        </w:rPr>
      </w:pP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>After finishing the Primary and Major Core courses, a major must choose a "Field" (take 4 related courses) and then, working with an advisor, select 2 more "Major Elective" courses within economics &amp; business.</w:t>
      </w: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br/>
      </w:r>
    </w:p>
    <w:tbl>
      <w:tblPr>
        <w:tblW w:w="10799" w:type="dxa"/>
        <w:tblInd w:w="-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3491"/>
      </w:tblGrid>
      <w:tr w:rsidR="00C768FE" w:rsidRPr="00C768FE" w14:paraId="4A58E784" w14:textId="77777777" w:rsidTr="000D60C6">
        <w:trPr>
          <w:trHeight w:val="270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4B73" w14:textId="4307E9CA" w:rsidR="006E7CD4" w:rsidRPr="00C768FE" w:rsidRDefault="006E7CD4" w:rsidP="00176E3D">
            <w:pPr>
              <w:pStyle w:val="Standard"/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>Name:</w:t>
            </w:r>
            <w:r w:rsidR="000D60C6"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3491" w:type="dxa"/>
          </w:tcPr>
          <w:p w14:paraId="64BCD6CF" w14:textId="30D681E5" w:rsidR="006E7CD4" w:rsidRPr="00C768FE" w:rsidRDefault="000D60C6" w:rsidP="00176E3D">
            <w:pPr>
              <w:pStyle w:val="Standard"/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 xml:space="preserve">      </w:t>
            </w:r>
            <w:r w:rsidR="006E7CD4"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>ID:</w:t>
            </w:r>
            <w:r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</w:tr>
    </w:tbl>
    <w:p w14:paraId="6E5FEDFB" w14:textId="0A492936" w:rsidR="00C768FE" w:rsidRPr="00C768FE" w:rsidRDefault="00C768FE" w:rsidP="00C768FE">
      <w:pPr>
        <w:spacing w:after="120"/>
        <w:rPr>
          <w:rFonts w:cs="Times New Roman"/>
          <w:color w:val="262626" w:themeColor="text1" w:themeTint="D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3741"/>
        <w:gridCol w:w="624"/>
        <w:gridCol w:w="4989"/>
      </w:tblGrid>
      <w:tr w:rsidR="00C768FE" w:rsidRPr="00C768FE" w14:paraId="5810ED00" w14:textId="77777777" w:rsidTr="00176E3D">
        <w:trPr>
          <w:cantSplit/>
        </w:trPr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39B196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>Eco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ECDFD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 xml:space="preserve">Primary Courses </w:t>
            </w: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(required)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nil"/>
            </w:tcBorders>
            <w:tcMar>
              <w:left w:w="108" w:type="dxa"/>
              <w:right w:w="108" w:type="dxa"/>
            </w:tcMar>
          </w:tcPr>
          <w:p w14:paraId="49113E8C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BFBFBF"/>
              <w:right w:val="nil"/>
            </w:tcBorders>
            <w:tcMar>
              <w:left w:w="108" w:type="dxa"/>
              <w:right w:w="108" w:type="dxa"/>
            </w:tcMar>
          </w:tcPr>
          <w:p w14:paraId="35996052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>Term Taken</w:t>
            </w:r>
          </w:p>
        </w:tc>
      </w:tr>
      <w:tr w:rsidR="00C768FE" w:rsidRPr="00C768FE" w14:paraId="53919F62" w14:textId="77777777" w:rsidTr="00176E3D">
        <w:trPr>
          <w:cantSplit/>
        </w:trPr>
        <w:tc>
          <w:tcPr>
            <w:tcW w:w="144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60F038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10150</w:t>
            </w:r>
          </w:p>
        </w:tc>
        <w:tc>
          <w:tcPr>
            <w:tcW w:w="374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EC584E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Principles of Management</w:t>
            </w:r>
          </w:p>
        </w:tc>
        <w:tc>
          <w:tcPr>
            <w:tcW w:w="624" w:type="dxa"/>
            <w:tcBorders>
              <w:top w:val="single" w:sz="4" w:space="0" w:color="BFBFBF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F047881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single" w:sz="4" w:space="0" w:color="BFBFBF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98FFAB3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6A7ADDEC" w14:textId="77777777" w:rsidTr="00176E3D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C6432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10250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BC93BA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Principles of Microeconomics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37C1DF0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B955216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3999F28F" w14:textId="77777777" w:rsidTr="00176E3D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08EF7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10350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99403E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Principles of Macroeconomics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A42724D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227BD67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414E514F" w14:textId="77777777" w:rsidTr="00C768FE">
        <w:trPr>
          <w:cantSplit/>
          <w:trHeight w:val="54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B1F21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Math 20100 or 20500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E62441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 xml:space="preserve">Calculus </w:t>
            </w:r>
            <w:proofErr w:type="gramStart"/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 xml:space="preserve">I  </w:t>
            </w:r>
            <w:r w:rsidRPr="00C768FE">
              <w:rPr>
                <w:rFonts w:ascii="Franklin Gothic Book" w:eastAsia="Times New Roman" w:cs="Times New Roman"/>
                <w:i/>
                <w:color w:val="262626" w:themeColor="text1" w:themeTint="D9"/>
                <w:sz w:val="20"/>
              </w:rPr>
              <w:t>or</w:t>
            </w:r>
            <w:proofErr w:type="gramEnd"/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 xml:space="preserve">  </w:t>
            </w:r>
          </w:p>
          <w:p w14:paraId="0D09C7B4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Elements of Calculus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B3F020E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B3EBFBB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</w:tbl>
    <w:p w14:paraId="74921E82" w14:textId="40DE228D" w:rsidR="00C768FE" w:rsidRPr="00C768FE" w:rsidRDefault="00C768FE" w:rsidP="00C768FE">
      <w:pPr>
        <w:spacing w:after="120"/>
        <w:rPr>
          <w:rFonts w:cs="Times New Roman"/>
          <w:color w:val="262626" w:themeColor="text1" w:themeTint="D9"/>
          <w:sz w:val="28"/>
          <w:szCs w:val="28"/>
        </w:rPr>
      </w:pPr>
      <w:r w:rsidRPr="00C768FE">
        <w:rPr>
          <w:rFonts w:ascii="Franklin Gothic Book" w:eastAsia="Times New Roman" w:cs="Times New Roman"/>
          <w:color w:val="262626" w:themeColor="text1" w:themeTint="D9"/>
          <w:sz w:val="20"/>
          <w:szCs w:val="28"/>
        </w:rPr>
        <w:t xml:space="preserve">Honors students can substitute Honors Introduction to Economics (Eco 19150) in place of Principles of Microeconomics </w:t>
      </w:r>
      <w:r>
        <w:rPr>
          <w:rFonts w:ascii="Franklin Gothic Book" w:eastAsia="Times New Roman" w:cs="Times New Roman"/>
          <w:color w:val="262626" w:themeColor="text1" w:themeTint="D9"/>
          <w:sz w:val="20"/>
          <w:szCs w:val="28"/>
        </w:rPr>
        <w:br/>
      </w:r>
      <w:r w:rsidRPr="00C768FE">
        <w:rPr>
          <w:rFonts w:ascii="Franklin Gothic Book" w:eastAsia="Times New Roman" w:cs="Times New Roman"/>
          <w:color w:val="262626" w:themeColor="text1" w:themeTint="D9"/>
          <w:sz w:val="20"/>
          <w:szCs w:val="28"/>
        </w:rPr>
        <w:t>(Eco 10250) and Principles of Macroeconomics (Eco 10350).  Engineering can substitute Eco 10400 for 10250 and 10350.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3741"/>
        <w:gridCol w:w="624"/>
        <w:gridCol w:w="4989"/>
      </w:tblGrid>
      <w:tr w:rsidR="00C768FE" w:rsidRPr="00C768FE" w14:paraId="649C5BBF" w14:textId="77777777" w:rsidTr="00176E3D">
        <w:trPr>
          <w:cantSplit/>
        </w:trPr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96720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>Eco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600E2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 xml:space="preserve">Major Core Courses </w:t>
            </w: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(required)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nil"/>
            </w:tcBorders>
            <w:tcMar>
              <w:left w:w="108" w:type="dxa"/>
              <w:right w:w="108" w:type="dxa"/>
            </w:tcMar>
          </w:tcPr>
          <w:p w14:paraId="3FBC91CD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BFBFBF"/>
              <w:right w:val="nil"/>
            </w:tcBorders>
            <w:tcMar>
              <w:left w:w="108" w:type="dxa"/>
              <w:right w:w="108" w:type="dxa"/>
            </w:tcMar>
          </w:tcPr>
          <w:p w14:paraId="40324C0D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>Term Taken</w:t>
            </w:r>
          </w:p>
        </w:tc>
      </w:tr>
      <w:tr w:rsidR="00C768FE" w:rsidRPr="00C768FE" w14:paraId="2486B130" w14:textId="77777777" w:rsidTr="00176E3D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78A419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20150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3C3AA1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Principles of Statistics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A233BE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EA7C03D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69532A00" w14:textId="77777777" w:rsidTr="00176E3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484DC9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20250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DCFF93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Microeconomic Theory 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7455EEE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B579099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65959C27" w14:textId="77777777" w:rsidTr="00176E3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F3BE9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20350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2A216D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Macroeconomics 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D512CE3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E33D595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28AD7022" w14:textId="77777777" w:rsidTr="00176E3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47B01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20450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3FB259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Principles of Accounting 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4A9EA21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587E01C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</w:tbl>
    <w:p w14:paraId="20B399A7" w14:textId="77777777" w:rsidR="00C768FE" w:rsidRPr="00C768FE" w:rsidRDefault="00C768FE" w:rsidP="00C768FE">
      <w:pPr>
        <w:rPr>
          <w:rFonts w:ascii="Franklin Gothic Book" w:cs="Times New Roman"/>
          <w:color w:val="262626" w:themeColor="text1" w:themeTint="D9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3741"/>
        <w:gridCol w:w="624"/>
        <w:gridCol w:w="4989"/>
      </w:tblGrid>
      <w:tr w:rsidR="00C768FE" w:rsidRPr="00C768FE" w14:paraId="7F8F0CC5" w14:textId="77777777" w:rsidTr="00176E3D">
        <w:trPr>
          <w:cantSplit/>
        </w:trPr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1A5238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>Eco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D0EACF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 xml:space="preserve">Field Courses </w:t>
            </w: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(chosen from list)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nil"/>
            </w:tcBorders>
            <w:tcMar>
              <w:left w:w="108" w:type="dxa"/>
              <w:right w:w="108" w:type="dxa"/>
            </w:tcMar>
          </w:tcPr>
          <w:p w14:paraId="52CCF771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BFBFBF"/>
              <w:right w:val="nil"/>
            </w:tcBorders>
            <w:tcMar>
              <w:left w:w="108" w:type="dxa"/>
              <w:right w:w="108" w:type="dxa"/>
            </w:tcMar>
          </w:tcPr>
          <w:p w14:paraId="1C3D87CA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>Term Taken</w:t>
            </w:r>
          </w:p>
        </w:tc>
      </w:tr>
      <w:tr w:rsidR="00C768FE" w:rsidRPr="00C768FE" w14:paraId="21F598C0" w14:textId="77777777" w:rsidTr="00176E3D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E9F135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739AD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5CC56E6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B2E801C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217335E1" w14:textId="77777777" w:rsidTr="00176E3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F1CAC6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D03A5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0819222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5CFD6E0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2D21AC1D" w14:textId="77777777" w:rsidTr="00176E3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E6BECB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326B94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F55F3F1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F7C42F7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7DD29352" w14:textId="77777777" w:rsidTr="00176E3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D498B7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3AFED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(capstone)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4B0CBEC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D8BF8BE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</w:tbl>
    <w:p w14:paraId="126AAC33" w14:textId="77777777" w:rsidR="00C768FE" w:rsidRPr="00C768FE" w:rsidRDefault="00C768FE" w:rsidP="00C768FE">
      <w:pPr>
        <w:rPr>
          <w:rFonts w:cs="Times New Roman"/>
          <w:color w:val="262626" w:themeColor="text1" w:themeTint="D9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3741"/>
        <w:gridCol w:w="624"/>
        <w:gridCol w:w="4989"/>
      </w:tblGrid>
      <w:tr w:rsidR="00C768FE" w:rsidRPr="00C768FE" w14:paraId="7BD08C96" w14:textId="77777777" w:rsidTr="00176E3D">
        <w:trPr>
          <w:cantSplit/>
        </w:trPr>
        <w:tc>
          <w:tcPr>
            <w:tcW w:w="144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5CDA4D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>Eco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2F712D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 xml:space="preserve">Major Elective Courses </w:t>
            </w: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 xml:space="preserve">(ea. 3 or more </w:t>
            </w:r>
            <w:proofErr w:type="spellStart"/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cr</w:t>
            </w:r>
            <w:proofErr w:type="spellEnd"/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nil"/>
            </w:tcBorders>
            <w:tcMar>
              <w:left w:w="108" w:type="dxa"/>
              <w:right w:w="108" w:type="dxa"/>
            </w:tcMar>
          </w:tcPr>
          <w:p w14:paraId="71157D79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BFBFBF"/>
              <w:right w:val="nil"/>
            </w:tcBorders>
            <w:tcMar>
              <w:left w:w="108" w:type="dxa"/>
              <w:right w:w="108" w:type="dxa"/>
            </w:tcMar>
          </w:tcPr>
          <w:p w14:paraId="607B78A7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>Term Taken</w:t>
            </w:r>
          </w:p>
        </w:tc>
      </w:tr>
      <w:tr w:rsidR="00C768FE" w:rsidRPr="00C768FE" w14:paraId="51DDA8C3" w14:textId="77777777" w:rsidTr="00176E3D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E423E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FFFCA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E74DC38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4314980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059F1A0D" w14:textId="77777777" w:rsidTr="00C768FE">
        <w:trPr>
          <w:trHeight w:val="378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A024F2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B62529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BCA083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Arial" w:hAnsi="Arial" w:cs="Arial"/>
                <w:color w:val="262626" w:themeColor="text1" w:themeTint="D9"/>
                <w:sz w:val="20"/>
              </w:rPr>
              <w:t>□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2669CEE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</w:tbl>
    <w:p w14:paraId="43B7120E" w14:textId="77777777" w:rsidR="00C768FE" w:rsidRPr="00C768FE" w:rsidRDefault="00C768FE" w:rsidP="00C768FE">
      <w:pPr>
        <w:spacing w:after="120"/>
        <w:rPr>
          <w:rFonts w:cs="Times New Roman"/>
          <w:color w:val="262626" w:themeColor="text1" w:themeTint="D9"/>
        </w:rPr>
      </w:pP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 xml:space="preserve">Courses must have a grade of C- or better to fulfill the requirements of the major.  A D grade is inadequate. </w:t>
      </w:r>
    </w:p>
    <w:p w14:paraId="613C78CD" w14:textId="77777777" w:rsidR="00C768FE" w:rsidRPr="00C768FE" w:rsidRDefault="00C768FE" w:rsidP="00C768FE">
      <w:pPr>
        <w:spacing w:after="120"/>
        <w:rPr>
          <w:rFonts w:cs="Times New Roman"/>
          <w:color w:val="262626" w:themeColor="text1" w:themeTint="D9"/>
        </w:rPr>
      </w:pP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 xml:space="preserve">Residence requirement: of the 43 major credits, 60% (25 </w:t>
      </w:r>
      <w:proofErr w:type="spellStart"/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>cr</w:t>
      </w:r>
      <w:proofErr w:type="spellEnd"/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>) must be completed here at The City College.  In particular, at least two of the four "Major Core" and three of the four "Field" courses must be completed at CCNY.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724"/>
        <w:gridCol w:w="1077"/>
        <w:gridCol w:w="2319"/>
        <w:gridCol w:w="1047"/>
        <w:gridCol w:w="2753"/>
      </w:tblGrid>
      <w:tr w:rsidR="00C768FE" w:rsidRPr="00C768FE" w14:paraId="388B61F8" w14:textId="77777777" w:rsidTr="00176E3D">
        <w:tc>
          <w:tcPr>
            <w:tcW w:w="700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7F348E1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Demi" w:eastAsia="Times New Roman" w:cs="Times New Roman"/>
                <w:color w:val="262626" w:themeColor="text1" w:themeTint="D9"/>
                <w:sz w:val="20"/>
              </w:rPr>
              <w:t>Field Courses chosen from: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B3FDBF7" w14:textId="77777777" w:rsidR="00C768FE" w:rsidRPr="00C768FE" w:rsidRDefault="00C768FE" w:rsidP="00176E3D">
            <w:pPr>
              <w:jc w:val="center"/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BE69913" w14:textId="77777777" w:rsidR="00C768FE" w:rsidRPr="00C768FE" w:rsidRDefault="00C768FE" w:rsidP="00176E3D">
            <w:pPr>
              <w:pStyle w:val="TextBody"/>
              <w:spacing w:after="0"/>
              <w:rPr>
                <w:color w:val="262626" w:themeColor="text1" w:themeTint="D9"/>
              </w:rPr>
            </w:pPr>
            <w:r w:rsidRPr="00C768FE">
              <w:rPr>
                <w:rFonts w:ascii="Franklin Gothic Book"/>
                <w:i/>
                <w:color w:val="262626" w:themeColor="text1" w:themeTint="D9"/>
                <w:sz w:val="20"/>
              </w:rPr>
              <w:t>Capstones</w:t>
            </w:r>
          </w:p>
        </w:tc>
      </w:tr>
      <w:tr w:rsidR="00C768FE" w:rsidRPr="00C768FE" w14:paraId="64EF1D27" w14:textId="77777777" w:rsidTr="00176E3D">
        <w:tc>
          <w:tcPr>
            <w:tcW w:w="8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14:paraId="563A286E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21150</w:t>
            </w:r>
          </w:p>
        </w:tc>
        <w:tc>
          <w:tcPr>
            <w:tcW w:w="272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14:paraId="102DECCA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 xml:space="preserve">Consumer Behavior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14:paraId="4CE1B947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31450</w:t>
            </w:r>
          </w:p>
        </w:tc>
        <w:tc>
          <w:tcPr>
            <w:tcW w:w="2319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0A8DC5F8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Business Law II</w:t>
            </w:r>
          </w:p>
        </w:tc>
        <w:tc>
          <w:tcPr>
            <w:tcW w:w="10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14:paraId="7BF06127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41150</w:t>
            </w:r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14:paraId="4FCC1FDC" w14:textId="77777777" w:rsidR="00C768FE" w:rsidRPr="00C768FE" w:rsidRDefault="00C768FE" w:rsidP="00176E3D">
            <w:pPr>
              <w:pStyle w:val="TextBody"/>
              <w:spacing w:after="0"/>
              <w:rPr>
                <w:color w:val="262626" w:themeColor="text1" w:themeTint="D9"/>
              </w:rPr>
            </w:pPr>
            <w:r w:rsidRPr="00C768FE">
              <w:rPr>
                <w:rFonts w:ascii="Franklin Gothic Book"/>
                <w:color w:val="262626" w:themeColor="text1" w:themeTint="D9"/>
                <w:sz w:val="20"/>
              </w:rPr>
              <w:t>Strategic Management</w:t>
            </w:r>
          </w:p>
        </w:tc>
      </w:tr>
      <w:tr w:rsidR="00C768FE" w:rsidRPr="00C768FE" w14:paraId="5C50B5CA" w14:textId="77777777" w:rsidTr="00176E3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E4007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21250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B24BC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Marketing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D121E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31550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611CF039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Marketing Research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8A70E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41350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D9096" w14:textId="77777777" w:rsidR="00C768FE" w:rsidRPr="00C768FE" w:rsidRDefault="00C768FE" w:rsidP="00176E3D">
            <w:pPr>
              <w:pStyle w:val="TextBody"/>
              <w:spacing w:after="0"/>
              <w:rPr>
                <w:color w:val="262626" w:themeColor="text1" w:themeTint="D9"/>
              </w:rPr>
            </w:pPr>
            <w:r w:rsidRPr="00C768FE">
              <w:rPr>
                <w:rFonts w:ascii="Franklin Gothic Book"/>
                <w:color w:val="262626" w:themeColor="text1" w:themeTint="D9"/>
                <w:sz w:val="20"/>
              </w:rPr>
              <w:t>Business and Society</w:t>
            </w:r>
          </w:p>
        </w:tc>
      </w:tr>
      <w:tr w:rsidR="00C768FE" w:rsidRPr="00C768FE" w14:paraId="6B5496A9" w14:textId="77777777" w:rsidTr="00176E3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AE46C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21350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9B522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International Environment of Business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6D882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31650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25CCB025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Organizational Behavior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E48C5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41450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A726D" w14:textId="77777777" w:rsidR="00C768FE" w:rsidRPr="00C768FE" w:rsidRDefault="00C768FE" w:rsidP="00176E3D">
            <w:pPr>
              <w:pStyle w:val="TextBody"/>
              <w:spacing w:after="0"/>
              <w:rPr>
                <w:color w:val="262626" w:themeColor="text1" w:themeTint="D9"/>
              </w:rPr>
            </w:pPr>
            <w:r w:rsidRPr="00C768FE">
              <w:rPr>
                <w:rFonts w:ascii="Franklin Gothic Book"/>
                <w:color w:val="262626" w:themeColor="text1" w:themeTint="D9"/>
                <w:sz w:val="20"/>
              </w:rPr>
              <w:t>Information and Technology Management</w:t>
            </w:r>
          </w:p>
        </w:tc>
      </w:tr>
      <w:tr w:rsidR="00C768FE" w:rsidRPr="00C768FE" w14:paraId="5A5C9858" w14:textId="77777777" w:rsidTr="00176E3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4D425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21450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B67EE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Business Law 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F0328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31750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2928EC60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Econ of Environmental Entrepreneurship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0E65C" w14:textId="77777777" w:rsidR="00C768FE" w:rsidRPr="00C768FE" w:rsidRDefault="00C768FE" w:rsidP="00176E3D">
            <w:pPr>
              <w:jc w:val="center"/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215D7" w14:textId="77777777" w:rsidR="00C768FE" w:rsidRPr="00C768FE" w:rsidRDefault="00C768FE" w:rsidP="00176E3D">
            <w:pPr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0306BD8F" w14:textId="77777777" w:rsidTr="00176E3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D4D80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22250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2DFB3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Corporate Finance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C9258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31850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08371C47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Managerial Economics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48F42" w14:textId="77777777" w:rsidR="00C768FE" w:rsidRPr="00C768FE" w:rsidRDefault="00C768FE" w:rsidP="00176E3D">
            <w:pPr>
              <w:jc w:val="center"/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8AB0B" w14:textId="77777777" w:rsidR="00C768FE" w:rsidRPr="00C768FE" w:rsidRDefault="00C768FE" w:rsidP="00176E3D">
            <w:pPr>
              <w:pStyle w:val="TextBody"/>
              <w:spacing w:after="0"/>
              <w:rPr>
                <w:color w:val="262626" w:themeColor="text1" w:themeTint="D9"/>
              </w:rPr>
            </w:pPr>
            <w:r w:rsidRPr="00C768FE">
              <w:rPr>
                <w:rFonts w:ascii="Franklin Gothic Book"/>
                <w:color w:val="262626" w:themeColor="text1" w:themeTint="D9"/>
                <w:sz w:val="20"/>
              </w:rPr>
              <w:t>Honors Thesis</w:t>
            </w:r>
          </w:p>
        </w:tc>
      </w:tr>
      <w:tr w:rsidR="00C768FE" w:rsidRPr="00C768FE" w14:paraId="7A9137DE" w14:textId="77777777" w:rsidTr="00176E3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2D477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31150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DB7F1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Developing Management Skills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679CF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31950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CBBCB32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Leadership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F2492" w14:textId="77777777" w:rsidR="00C768FE" w:rsidRPr="00C768FE" w:rsidRDefault="00C768FE" w:rsidP="00176E3D">
            <w:pPr>
              <w:jc w:val="center"/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A9BA1" w14:textId="77777777" w:rsidR="00C768FE" w:rsidRPr="00C768FE" w:rsidRDefault="00C768FE" w:rsidP="00176E3D">
            <w:pPr>
              <w:jc w:val="center"/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529DFD1E" w14:textId="77777777" w:rsidTr="00176E3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92B52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31250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FC360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Human Resource Management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72ADF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32350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FD45D31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Accounting II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7F2C6" w14:textId="77777777" w:rsidR="00C768FE" w:rsidRPr="00C768FE" w:rsidRDefault="00C768FE" w:rsidP="00176E3D">
            <w:pPr>
              <w:jc w:val="center"/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964D4" w14:textId="77777777" w:rsidR="00C768FE" w:rsidRPr="00C768FE" w:rsidRDefault="00C768FE" w:rsidP="00176E3D">
            <w:pPr>
              <w:jc w:val="center"/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  <w:tr w:rsidR="00C768FE" w:rsidRPr="00C768FE" w14:paraId="0ABD18B6" w14:textId="77777777" w:rsidTr="00176E3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45B84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31350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794D8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Operations and Production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5FDA9" w14:textId="77777777" w:rsidR="00C768FE" w:rsidRPr="00C768FE" w:rsidRDefault="00C768FE" w:rsidP="00176E3D">
            <w:pPr>
              <w:jc w:val="center"/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41250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7CF0F20A" w14:textId="77777777" w:rsidR="00C768FE" w:rsidRPr="00C768FE" w:rsidRDefault="00C768FE" w:rsidP="00176E3D">
            <w:pPr>
              <w:rPr>
                <w:rFonts w:cs="Times New Roman"/>
                <w:color w:val="262626" w:themeColor="text1" w:themeTint="D9"/>
              </w:rPr>
            </w:pPr>
            <w:r w:rsidRPr="00C768FE">
              <w:rPr>
                <w:rFonts w:ascii="Franklin Gothic Book" w:eastAsia="Times New Roman" w:cs="Times New Roman"/>
                <w:color w:val="262626" w:themeColor="text1" w:themeTint="D9"/>
                <w:sz w:val="20"/>
              </w:rPr>
              <w:t>Entrepreneurship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26BEF" w14:textId="77777777" w:rsidR="00C768FE" w:rsidRPr="00C768FE" w:rsidRDefault="00C768FE" w:rsidP="00176E3D">
            <w:pPr>
              <w:jc w:val="center"/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384DF" w14:textId="77777777" w:rsidR="00C768FE" w:rsidRPr="00C768FE" w:rsidRDefault="00C768FE" w:rsidP="00176E3D">
            <w:pPr>
              <w:jc w:val="center"/>
              <w:rPr>
                <w:rFonts w:ascii="Franklin Gothic Book" w:cs="Times New Roman"/>
                <w:color w:val="262626" w:themeColor="text1" w:themeTint="D9"/>
                <w:sz w:val="20"/>
              </w:rPr>
            </w:pPr>
          </w:p>
        </w:tc>
      </w:tr>
    </w:tbl>
    <w:p w14:paraId="1369AC5A" w14:textId="77777777" w:rsidR="00C768FE" w:rsidRPr="00C768FE" w:rsidRDefault="00C768FE" w:rsidP="00C768FE">
      <w:pPr>
        <w:rPr>
          <w:rFonts w:ascii="Franklin Gothic Book" w:cs="Times New Roman"/>
          <w:color w:val="262626" w:themeColor="text1" w:themeTint="D9"/>
          <w:sz w:val="20"/>
        </w:rPr>
      </w:pPr>
    </w:p>
    <w:p w14:paraId="5805AEF1" w14:textId="77777777" w:rsidR="00C768FE" w:rsidRPr="00C768FE" w:rsidRDefault="00C768FE" w:rsidP="00C768FE">
      <w:pPr>
        <w:spacing w:after="120"/>
        <w:rPr>
          <w:rFonts w:cs="Times New Roman"/>
          <w:color w:val="262626" w:themeColor="text1" w:themeTint="D9"/>
        </w:rPr>
      </w:pP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>Advisor's Remarks:</w:t>
      </w:r>
    </w:p>
    <w:p w14:paraId="6D1540DE" w14:textId="77777777" w:rsidR="00C768FE" w:rsidRPr="00C768FE" w:rsidRDefault="00C768FE" w:rsidP="00C768FE">
      <w:pPr>
        <w:spacing w:after="120"/>
        <w:rPr>
          <w:rFonts w:cs="Times New Roman"/>
          <w:color w:val="262626" w:themeColor="text1" w:themeTint="D9"/>
        </w:rPr>
      </w:pP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>____________________________</w:t>
      </w:r>
      <w:proofErr w:type="gramStart"/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>_  has</w:t>
      </w:r>
      <w:proofErr w:type="gramEnd"/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 xml:space="preserve"> completed/is currently completing the major requirements for a degree in Management and Administration.</w:t>
      </w:r>
    </w:p>
    <w:p w14:paraId="269FE34F" w14:textId="6E2948E3" w:rsidR="006E7CD4" w:rsidRPr="00C77C09" w:rsidRDefault="00C768FE" w:rsidP="00C768FE">
      <w:pPr>
        <w:spacing w:after="120"/>
        <w:rPr>
          <w:color w:val="262626" w:themeColor="text1" w:themeTint="D9"/>
          <w:sz w:val="20"/>
          <w:szCs w:val="20"/>
        </w:rPr>
      </w:pP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br/>
      </w: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>Date:</w:t>
      </w: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ab/>
      </w: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ab/>
      </w:r>
      <w:r w:rsidRPr="00C768FE">
        <w:rPr>
          <w:rFonts w:ascii="Franklin Gothic Book" w:eastAsia="Times New Roman" w:cs="Times New Roman"/>
          <w:color w:val="262626" w:themeColor="text1" w:themeTint="D9"/>
          <w:sz w:val="20"/>
        </w:rPr>
        <w:tab/>
        <w:t xml:space="preserve">Advisor's Signature:   </w:t>
      </w:r>
    </w:p>
    <w:sectPr w:rsidR="006E7CD4" w:rsidRPr="00C77C09" w:rsidSect="00C94E99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F59A" w14:textId="77777777" w:rsidR="002516B5" w:rsidRDefault="002516B5" w:rsidP="00C94E99">
      <w:r>
        <w:separator/>
      </w:r>
    </w:p>
  </w:endnote>
  <w:endnote w:type="continuationSeparator" w:id="0">
    <w:p w14:paraId="1A97B074" w14:textId="77777777" w:rsidR="002516B5" w:rsidRDefault="002516B5" w:rsidP="00C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Book">
    <w:altName w:val="sans-serif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4BAF" w14:textId="77777777" w:rsidR="002516B5" w:rsidRDefault="002516B5" w:rsidP="00C94E99">
      <w:r>
        <w:separator/>
      </w:r>
    </w:p>
  </w:footnote>
  <w:footnote w:type="continuationSeparator" w:id="0">
    <w:p w14:paraId="5E1C2831" w14:textId="77777777" w:rsidR="002516B5" w:rsidRDefault="002516B5" w:rsidP="00C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5FD" w14:textId="29B7ED61" w:rsidR="00C94E99" w:rsidRPr="000D60C6" w:rsidRDefault="00C94E99" w:rsidP="00C77C09">
    <w:pPr>
      <w:pStyle w:val="Header"/>
      <w:ind w:right="-288"/>
      <w:rPr>
        <w:sz w:val="11"/>
        <w:szCs w:val="11"/>
      </w:rPr>
    </w:pPr>
    <w:r>
      <w:rPr>
        <w:noProof/>
      </w:rPr>
      <w:drawing>
        <wp:inline distT="0" distB="0" distL="0" distR="0" wp14:anchorId="2E29F6D2" wp14:editId="16CF177C">
          <wp:extent cx="4126655" cy="5689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7" b="10372"/>
                  <a:stretch/>
                </pic:blipFill>
                <pic:spPr bwMode="auto">
                  <a:xfrm>
                    <a:off x="0" y="0"/>
                    <a:ext cx="4484590" cy="618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7CD4">
      <w:br/>
    </w:r>
  </w:p>
  <w:p w14:paraId="4A905F87" w14:textId="1CCC9D85" w:rsidR="00C94E99" w:rsidRPr="000D60C6" w:rsidRDefault="00C77C09" w:rsidP="006E7CD4">
    <w:pPr>
      <w:pStyle w:val="Subtitle"/>
      <w:ind w:left="-288"/>
      <w:rPr>
        <w:b/>
        <w:bCs/>
        <w:sz w:val="21"/>
        <w:szCs w:val="21"/>
      </w:rPr>
    </w:pPr>
    <w:r>
      <w:rPr>
        <w:b/>
        <w:bCs/>
        <w:noProof/>
        <w:color w:val="000000" w:themeColor="text1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7013C" wp14:editId="0B0ED36B">
              <wp:simplePos x="0" y="0"/>
              <wp:positionH relativeFrom="column">
                <wp:posOffset>-1</wp:posOffset>
              </wp:positionH>
              <wp:positionV relativeFrom="paragraph">
                <wp:posOffset>255864</wp:posOffset>
              </wp:positionV>
              <wp:extent cx="6877455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3F0C1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15pt" to="541.55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" strokecolor="black [3200]" strokeweight=".5pt">
              <v:stroke joinstyle="miter"/>
            </v:line>
          </w:pict>
        </mc:Fallback>
      </mc:AlternateContent>
    </w:r>
    <w:r>
      <w:rPr>
        <w:b/>
        <w:bCs/>
        <w:color w:val="262626" w:themeColor="text1" w:themeTint="D9"/>
        <w:sz w:val="21"/>
        <w:szCs w:val="21"/>
      </w:rPr>
      <w:t xml:space="preserve">     </w:t>
    </w:r>
    <w:r w:rsidR="00C94E99" w:rsidRPr="00C77C09">
      <w:rPr>
        <w:b/>
        <w:bCs/>
        <w:color w:val="262626" w:themeColor="text1" w:themeTint="D9"/>
        <w:sz w:val="21"/>
        <w:szCs w:val="21"/>
      </w:rPr>
      <w:t>DEPARTMENT OF ECONOMICS AND BUSINESS</w:t>
    </w:r>
    <w:proofErr w:type="gramStart"/>
    <w:r w:rsidR="006E7CD4" w:rsidRPr="00C77C09">
      <w:rPr>
        <w:b/>
        <w:bCs/>
        <w:color w:val="262626" w:themeColor="text1" w:themeTint="D9"/>
        <w:sz w:val="21"/>
        <w:szCs w:val="21"/>
      </w:rPr>
      <w:tab/>
    </w:r>
    <w:r w:rsidR="006E7CD4" w:rsidRPr="000D60C6">
      <w:rPr>
        <w:b/>
        <w:bCs/>
        <w:sz w:val="21"/>
        <w:szCs w:val="21"/>
      </w:rPr>
      <w:t xml:space="preserve"> </w:t>
    </w:r>
    <w:r w:rsidR="00C768FE">
      <w:rPr>
        <w:b/>
        <w:bCs/>
        <w:sz w:val="21"/>
        <w:szCs w:val="21"/>
      </w:rPr>
      <w:t xml:space="preserve"> </w:t>
    </w:r>
    <w:r w:rsidR="006E7CD4" w:rsidRPr="00C77C09">
      <w:rPr>
        <w:i/>
        <w:iCs/>
        <w:color w:val="262626" w:themeColor="text1" w:themeTint="D9"/>
      </w:rPr>
      <w:t>Field</w:t>
    </w:r>
    <w:proofErr w:type="gramEnd"/>
    <w:r w:rsidR="006E7CD4" w:rsidRPr="00C77C09">
      <w:rPr>
        <w:i/>
        <w:iCs/>
        <w:color w:val="262626" w:themeColor="text1" w:themeTint="D9"/>
      </w:rPr>
      <w:t xml:space="preserve">: </w:t>
    </w:r>
    <w:r w:rsidR="00C768FE">
      <w:rPr>
        <w:i/>
        <w:iCs/>
        <w:color w:val="262626" w:themeColor="text1" w:themeTint="D9"/>
      </w:rPr>
      <w:t>Business Administration &amp;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99"/>
    <w:rsid w:val="00060165"/>
    <w:rsid w:val="000C3EF9"/>
    <w:rsid w:val="000D60C6"/>
    <w:rsid w:val="002516B5"/>
    <w:rsid w:val="0054011C"/>
    <w:rsid w:val="006E7CD4"/>
    <w:rsid w:val="007877EE"/>
    <w:rsid w:val="00C768FE"/>
    <w:rsid w:val="00C77C09"/>
    <w:rsid w:val="00C94E99"/>
    <w:rsid w:val="00E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8BC70"/>
  <w15:chartTrackingRefBased/>
  <w15:docId w15:val="{51A79284-733D-8E45-A921-2D66BF5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D4"/>
    <w:pPr>
      <w:widowControl w:val="0"/>
      <w:suppressAutoHyphens/>
      <w:autoSpaceDN w:val="0"/>
      <w:textAlignment w:val="baseline"/>
    </w:pPr>
    <w:rPr>
      <w:rFonts w:ascii="Corbel" w:eastAsia="SimSun" w:hAnsi="Corbel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E9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C94E99"/>
  </w:style>
  <w:style w:type="paragraph" w:styleId="Footer">
    <w:name w:val="footer"/>
    <w:basedOn w:val="Normal"/>
    <w:link w:val="FooterChar"/>
    <w:uiPriority w:val="99"/>
    <w:unhideWhenUsed/>
    <w:rsid w:val="00C94E9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C94E99"/>
  </w:style>
  <w:style w:type="paragraph" w:customStyle="1" w:styleId="Standard">
    <w:name w:val="Standard"/>
    <w:rsid w:val="00C94E99"/>
    <w:pPr>
      <w:suppressAutoHyphens/>
      <w:autoSpaceDN w:val="0"/>
      <w:textAlignment w:val="baseline"/>
    </w:pPr>
    <w:rPr>
      <w:rFonts w:ascii="Corbel" w:eastAsia="SimSun" w:hAnsi="Corbel" w:cs="Calibri"/>
      <w:kern w:val="3"/>
    </w:rPr>
  </w:style>
  <w:style w:type="paragraph" w:styleId="NoSpacing">
    <w:name w:val="No Spacing"/>
    <w:uiPriority w:val="1"/>
    <w:qFormat/>
    <w:rsid w:val="00C94E99"/>
    <w:rPr>
      <w:rFonts w:ascii="Lato" w:hAnsi="La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CD4"/>
    <w:pPr>
      <w:widowControl/>
      <w:numPr>
        <w:ilvl w:val="1"/>
      </w:numPr>
      <w:suppressAutoHyphens w:val="0"/>
      <w:autoSpaceDN/>
      <w:spacing w:after="160"/>
      <w:textAlignment w:val="auto"/>
    </w:pPr>
    <w:rPr>
      <w:rFonts w:ascii="Lato" w:eastAsiaTheme="minorEastAsia" w:hAnsi="Lato" w:cstheme="minorBidi"/>
      <w:color w:val="5A5A5A" w:themeColor="text1" w:themeTint="A5"/>
      <w:spacing w:val="15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7CD4"/>
    <w:rPr>
      <w:rFonts w:ascii="Lato" w:eastAsiaTheme="minorEastAsia" w:hAnsi="Lato"/>
      <w:color w:val="5A5A5A" w:themeColor="text1" w:themeTint="A5"/>
      <w:spacing w:val="15"/>
      <w:sz w:val="22"/>
      <w:szCs w:val="22"/>
    </w:rPr>
  </w:style>
  <w:style w:type="paragraph" w:customStyle="1" w:styleId="TextBody">
    <w:name w:val="Text Body"/>
    <w:basedOn w:val="Normal"/>
    <w:uiPriority w:val="99"/>
    <w:rsid w:val="00C768FE"/>
    <w:pPr>
      <w:widowControl/>
      <w:suppressAutoHyphens w:val="0"/>
      <w:autoSpaceDE w:val="0"/>
      <w:adjustRightInd w:val="0"/>
      <w:spacing w:after="120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2022-04-13T20:48:00Z</dcterms:created>
  <dcterms:modified xsi:type="dcterms:W3CDTF">2022-04-13T20:48:00Z</dcterms:modified>
</cp:coreProperties>
</file>