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76A6" w14:textId="77777777" w:rsidR="00ED3358" w:rsidRDefault="00ED3358" w:rsidP="00ED3358">
      <w:pPr>
        <w:pStyle w:val="NoSpacing"/>
        <w:ind w:left="-144"/>
      </w:pPr>
      <w:r>
        <w:rPr>
          <w:noProof/>
        </w:rPr>
        <w:drawing>
          <wp:inline distT="0" distB="0" distL="0" distR="0" wp14:anchorId="4C7A66CC" wp14:editId="0EC67E39">
            <wp:extent cx="1367380" cy="5486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llegeNP_FlushLeftCIT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3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B1B2" w14:textId="4F9FB7B8" w:rsidR="00ED3358" w:rsidRDefault="00ED3358" w:rsidP="00ED3358">
      <w:pPr>
        <w:spacing w:after="0" w:line="240" w:lineRule="auto"/>
        <w:ind w:left="-144"/>
        <w:rPr>
          <w:rFonts w:ascii="Times New Roman" w:eastAsia="Times New Roman" w:hAnsi="Times New Roman" w:cs="Times New Roman"/>
          <w:sz w:val="20"/>
          <w:szCs w:val="20"/>
        </w:rPr>
      </w:pPr>
      <w:r w:rsidRPr="00AE51C5">
        <w:rPr>
          <w:rFonts w:ascii="Times New Roman" w:eastAsia="Times New Roman" w:hAnsi="Times New Roman" w:cs="Times New Roman"/>
          <w:sz w:val="20"/>
          <w:szCs w:val="20"/>
        </w:rPr>
        <w:t>Office of General Education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974894">
        <w:rPr>
          <w:rFonts w:ascii="Times New Roman" w:eastAsia="Times New Roman" w:hAnsi="Times New Roman" w:cs="Times New Roman"/>
          <w:b/>
          <w:sz w:val="20"/>
          <w:szCs w:val="20"/>
        </w:rPr>
        <w:t>FALL 21 FIQWS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Syllabi Review</w:t>
      </w:r>
      <w:r w:rsidR="00120112">
        <w:rPr>
          <w:rFonts w:ascii="Times New Roman" w:eastAsia="Times New Roman" w:hAnsi="Times New Roman" w:cs="Times New Roman"/>
          <w:b/>
          <w:sz w:val="20"/>
          <w:szCs w:val="20"/>
        </w:rPr>
        <w:t xml:space="preserve"> – DRAFT report</w:t>
      </w:r>
    </w:p>
    <w:p w14:paraId="7EB5C902" w14:textId="77777777" w:rsidR="00ED3358" w:rsidRDefault="00ED3358" w:rsidP="00ED3358">
      <w:pPr>
        <w:spacing w:after="0" w:line="240" w:lineRule="auto"/>
        <w:ind w:left="-144"/>
        <w:rPr>
          <w:rFonts w:ascii="Times New Roman" w:eastAsia="Times New Roman" w:hAnsi="Times New Roman" w:cs="Times New Roman"/>
          <w:sz w:val="20"/>
          <w:szCs w:val="20"/>
        </w:rPr>
      </w:pPr>
      <w:r w:rsidRPr="00AE51C5">
        <w:rPr>
          <w:rFonts w:ascii="Times New Roman" w:eastAsia="Times New Roman" w:hAnsi="Times New Roman" w:cs="Times New Roman"/>
          <w:sz w:val="20"/>
          <w:szCs w:val="20"/>
        </w:rPr>
        <w:t>A218C    Tel: 212.650.8066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ED5FA5" w14:textId="77777777" w:rsidR="00ED3358" w:rsidRDefault="00ED3358" w:rsidP="00ED3358">
      <w:pPr>
        <w:spacing w:after="0" w:line="240" w:lineRule="auto"/>
        <w:ind w:left="-144"/>
        <w:rPr>
          <w:b/>
        </w:rPr>
      </w:pPr>
      <w:r>
        <w:rPr>
          <w:b/>
        </w:rPr>
        <w:t xml:space="preserve">   </w:t>
      </w: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6903"/>
      </w:tblGrid>
      <w:tr w:rsidR="00BD6FB8" w:rsidRPr="00742C9F" w14:paraId="128FD4D7" w14:textId="77777777" w:rsidTr="00BD6FB8">
        <w:trPr>
          <w:trHeight w:val="263"/>
        </w:trPr>
        <w:tc>
          <w:tcPr>
            <w:tcW w:w="2637" w:type="dxa"/>
            <w:shd w:val="clear" w:color="auto" w:fill="auto"/>
          </w:tcPr>
          <w:p w14:paraId="64ACD0C4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report:</w:t>
            </w:r>
          </w:p>
        </w:tc>
        <w:tc>
          <w:tcPr>
            <w:tcW w:w="6903" w:type="dxa"/>
            <w:shd w:val="clear" w:color="auto" w:fill="auto"/>
          </w:tcPr>
          <w:p w14:paraId="54D1E01E" w14:textId="41AD0FA3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5, 2022</w:t>
            </w:r>
          </w:p>
        </w:tc>
      </w:tr>
      <w:tr w:rsidR="00BD6FB8" w:rsidRPr="00742C9F" w14:paraId="6FDFFB54" w14:textId="77777777" w:rsidTr="00BD6FB8">
        <w:trPr>
          <w:trHeight w:val="254"/>
        </w:trPr>
        <w:tc>
          <w:tcPr>
            <w:tcW w:w="2637" w:type="dxa"/>
            <w:shd w:val="clear" w:color="auto" w:fill="auto"/>
          </w:tcPr>
          <w:p w14:paraId="32E4EBD6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Course:</w:t>
            </w:r>
          </w:p>
        </w:tc>
        <w:tc>
          <w:tcPr>
            <w:tcW w:w="6903" w:type="dxa"/>
            <w:shd w:val="clear" w:color="auto" w:fill="auto"/>
          </w:tcPr>
          <w:p w14:paraId="13383F45" w14:textId="0009D4F0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FIQWS</w:t>
            </w:r>
          </w:p>
        </w:tc>
      </w:tr>
      <w:tr w:rsidR="00BD6FB8" w:rsidRPr="00742C9F" w14:paraId="2391DC71" w14:textId="77777777" w:rsidTr="00BD6FB8">
        <w:trPr>
          <w:trHeight w:val="263"/>
        </w:trPr>
        <w:tc>
          <w:tcPr>
            <w:tcW w:w="2637" w:type="dxa"/>
            <w:shd w:val="clear" w:color="auto" w:fill="auto"/>
          </w:tcPr>
          <w:p w14:paraId="7EB9A75E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Materials used, n: </w:t>
            </w:r>
          </w:p>
        </w:tc>
        <w:tc>
          <w:tcPr>
            <w:tcW w:w="6903" w:type="dxa"/>
            <w:shd w:val="clear" w:color="auto" w:fill="auto"/>
          </w:tcPr>
          <w:p w14:paraId="3356CA0B" w14:textId="23CFF07F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syllabi</w:t>
            </w:r>
          </w:p>
        </w:tc>
      </w:tr>
      <w:tr w:rsidR="00BD6FB8" w:rsidRPr="00742C9F" w14:paraId="3E61462E" w14:textId="77777777" w:rsidTr="00BD6FB8">
        <w:trPr>
          <w:trHeight w:val="254"/>
        </w:trPr>
        <w:tc>
          <w:tcPr>
            <w:tcW w:w="2637" w:type="dxa"/>
            <w:shd w:val="clear" w:color="auto" w:fill="auto"/>
          </w:tcPr>
          <w:p w14:paraId="2DC2A9BA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Date/semester of assessment:</w:t>
            </w:r>
          </w:p>
        </w:tc>
        <w:tc>
          <w:tcPr>
            <w:tcW w:w="6903" w:type="dxa"/>
            <w:shd w:val="clear" w:color="auto" w:fill="auto"/>
          </w:tcPr>
          <w:p w14:paraId="1FF613C6" w14:textId="52CCDE21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</w:t>
            </w: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BD6FB8" w:rsidRPr="00742C9F" w14:paraId="6AE7EB05" w14:textId="77777777" w:rsidTr="00BD6FB8">
        <w:trPr>
          <w:trHeight w:val="263"/>
        </w:trPr>
        <w:tc>
          <w:tcPr>
            <w:tcW w:w="2637" w:type="dxa"/>
            <w:shd w:val="clear" w:color="auto" w:fill="auto"/>
          </w:tcPr>
          <w:p w14:paraId="34CE35D8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Team Members:</w:t>
            </w:r>
          </w:p>
        </w:tc>
        <w:tc>
          <w:tcPr>
            <w:tcW w:w="6903" w:type="dxa"/>
            <w:shd w:val="clear" w:color="auto" w:fill="auto"/>
          </w:tcPr>
          <w:p w14:paraId="65F45EDB" w14:textId="03FEAB78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Slentz</w:t>
            </w:r>
            <w:proofErr w:type="spellEnd"/>
          </w:p>
        </w:tc>
      </w:tr>
      <w:tr w:rsidR="00BD6FB8" w:rsidRPr="00742C9F" w14:paraId="4F5127F0" w14:textId="77777777" w:rsidTr="00BD6FB8">
        <w:trPr>
          <w:trHeight w:val="263"/>
        </w:trPr>
        <w:tc>
          <w:tcPr>
            <w:tcW w:w="2637" w:type="dxa"/>
            <w:shd w:val="clear" w:color="auto" w:fill="auto"/>
          </w:tcPr>
          <w:p w14:paraId="5E301B7F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/ Oversight:</w:t>
            </w:r>
          </w:p>
        </w:tc>
        <w:tc>
          <w:tcPr>
            <w:tcW w:w="6903" w:type="dxa"/>
            <w:shd w:val="clear" w:color="auto" w:fill="auto"/>
          </w:tcPr>
          <w:p w14:paraId="769BBA90" w14:textId="77777777" w:rsidR="00BD6FB8" w:rsidRPr="00742C9F" w:rsidRDefault="00BD6FB8" w:rsidP="00A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Vasovic</w:t>
            </w:r>
            <w:proofErr w:type="spellEnd"/>
            <w:r w:rsidRPr="0074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General Education </w:t>
            </w:r>
          </w:p>
        </w:tc>
      </w:tr>
    </w:tbl>
    <w:p w14:paraId="32E05F17" w14:textId="77777777" w:rsidR="00BD6FB8" w:rsidRDefault="00BD6FB8" w:rsidP="00117FB0">
      <w:pPr>
        <w:pStyle w:val="NormalWeb"/>
        <w:spacing w:before="0" w:beforeAutospacing="0" w:after="0" w:afterAutospacing="0"/>
        <w:ind w:left="-140" w:firstLine="140"/>
        <w:rPr>
          <w:rFonts w:ascii="Calibri" w:hAnsi="Calibri"/>
          <w:b/>
          <w:bCs/>
          <w:color w:val="000000"/>
          <w:sz w:val="22"/>
          <w:szCs w:val="22"/>
        </w:rPr>
      </w:pPr>
    </w:p>
    <w:p w14:paraId="2931FCBB" w14:textId="20031F9C" w:rsidR="00117FB0" w:rsidRPr="00117FB0" w:rsidRDefault="00117FB0" w:rsidP="00117FB0">
      <w:pPr>
        <w:pStyle w:val="NormalWeb"/>
        <w:spacing w:before="0" w:beforeAutospacing="0" w:after="0" w:afterAutospacing="0"/>
        <w:ind w:left="-140" w:firstLine="140"/>
      </w:pPr>
      <w:r w:rsidRPr="00117FB0">
        <w:rPr>
          <w:rFonts w:ascii="Calibri" w:hAnsi="Calibri"/>
          <w:b/>
          <w:bCs/>
          <w:color w:val="000000"/>
          <w:sz w:val="22"/>
          <w:szCs w:val="22"/>
        </w:rPr>
        <w:t>Purpose</w:t>
      </w:r>
    </w:p>
    <w:p w14:paraId="7DB949E7" w14:textId="46191449" w:rsidR="00117FB0" w:rsidRPr="00117FB0" w:rsidRDefault="00515E54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color w:val="000000"/>
        </w:rPr>
        <w:t xml:space="preserve">The purpose of this activity was to review Fall 21 FIQWS syllabi in terms of their effectiveness in communicating </w:t>
      </w:r>
      <w:r w:rsidR="00F92B43">
        <w:rPr>
          <w:rFonts w:ascii="Calibri" w:hAnsi="Calibri" w:cs="Times New Roman"/>
          <w:color w:val="000000"/>
        </w:rPr>
        <w:t xml:space="preserve">course </w:t>
      </w:r>
      <w:r>
        <w:rPr>
          <w:rFonts w:ascii="Calibri" w:hAnsi="Calibri" w:cs="Times New Roman"/>
          <w:color w:val="000000"/>
        </w:rPr>
        <w:t xml:space="preserve">information to students. </w:t>
      </w:r>
      <w:r w:rsidR="00F92B43">
        <w:rPr>
          <w:rFonts w:ascii="Calibri" w:hAnsi="Calibri" w:cs="Times New Roman"/>
          <w:color w:val="000000"/>
        </w:rPr>
        <w:t>In addition, the syllabi of partner FIQWS sections were examined to determine the degree of connectedness between the two sections.</w:t>
      </w:r>
      <w:r w:rsidR="00117FB0" w:rsidRPr="00117FB0">
        <w:rPr>
          <w:rFonts w:ascii="Calibri" w:hAnsi="Calibri" w:cs="Times New Roman"/>
          <w:color w:val="000000"/>
        </w:rPr>
        <w:t xml:space="preserve"> The goal is to utilize this data for course delivery improvement.</w:t>
      </w:r>
    </w:p>
    <w:p w14:paraId="4855170F" w14:textId="77777777" w:rsidR="00117FB0" w:rsidRPr="00117FB0" w:rsidRDefault="00117FB0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FB0">
        <w:rPr>
          <w:rFonts w:ascii="Calibri" w:hAnsi="Calibri" w:cs="Times New Roman"/>
          <w:b/>
          <w:bCs/>
          <w:color w:val="000000"/>
        </w:rPr>
        <w:t>Methodology</w:t>
      </w:r>
    </w:p>
    <w:p w14:paraId="28DAB24F" w14:textId="7881763A" w:rsidR="00ED2B5F" w:rsidRDefault="00E72F37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All instructors were asked to submit syllabi</w:t>
      </w:r>
      <w:r w:rsidR="004B509E">
        <w:rPr>
          <w:rFonts w:ascii="Calibri" w:hAnsi="Calibri" w:cs="Times New Roman"/>
          <w:color w:val="000000"/>
        </w:rPr>
        <w:t xml:space="preserve"> - t</w:t>
      </w:r>
      <w:r>
        <w:rPr>
          <w:rFonts w:ascii="Calibri" w:hAnsi="Calibri" w:cs="Times New Roman"/>
          <w:color w:val="000000"/>
        </w:rPr>
        <w:t>opic s</w:t>
      </w:r>
      <w:r w:rsidR="004B509E">
        <w:rPr>
          <w:rFonts w:ascii="Calibri" w:hAnsi="Calibri" w:cs="Times New Roman"/>
          <w:color w:val="000000"/>
        </w:rPr>
        <w:t>ection syllabi to</w:t>
      </w:r>
      <w:r>
        <w:rPr>
          <w:rFonts w:ascii="Calibri" w:hAnsi="Calibri" w:cs="Times New Roman"/>
          <w:color w:val="000000"/>
        </w:rPr>
        <w:t xml:space="preserve"> the Dire</w:t>
      </w:r>
      <w:r w:rsidR="004B509E">
        <w:rPr>
          <w:rFonts w:ascii="Calibri" w:hAnsi="Calibri" w:cs="Times New Roman"/>
          <w:color w:val="000000"/>
        </w:rPr>
        <w:t xml:space="preserve">ctor of General Education, and </w:t>
      </w:r>
      <w:r>
        <w:rPr>
          <w:rFonts w:ascii="Calibri" w:hAnsi="Calibri" w:cs="Times New Roman"/>
          <w:color w:val="000000"/>
        </w:rPr>
        <w:t xml:space="preserve">composition </w:t>
      </w:r>
      <w:r w:rsidR="004B509E">
        <w:rPr>
          <w:rFonts w:ascii="Calibri" w:hAnsi="Calibri" w:cs="Times New Roman"/>
          <w:color w:val="000000"/>
        </w:rPr>
        <w:t xml:space="preserve">sections to </w:t>
      </w:r>
      <w:r>
        <w:rPr>
          <w:rFonts w:ascii="Calibri" w:hAnsi="Calibri" w:cs="Times New Roman"/>
          <w:color w:val="000000"/>
        </w:rPr>
        <w:t xml:space="preserve">the English department; all </w:t>
      </w:r>
      <w:r w:rsidR="00ED2B5F">
        <w:rPr>
          <w:rFonts w:ascii="Calibri" w:hAnsi="Calibri" w:cs="Times New Roman"/>
          <w:color w:val="000000"/>
        </w:rPr>
        <w:t>syllabi were collated into a shared D</w:t>
      </w:r>
      <w:r>
        <w:rPr>
          <w:rFonts w:ascii="Calibri" w:hAnsi="Calibri" w:cs="Times New Roman"/>
          <w:color w:val="000000"/>
        </w:rPr>
        <w:t>ropbox</w:t>
      </w:r>
      <w:r w:rsidR="00ED2B5F">
        <w:rPr>
          <w:rFonts w:ascii="Calibri" w:hAnsi="Calibri" w:cs="Times New Roman"/>
          <w:color w:val="000000"/>
        </w:rPr>
        <w:t xml:space="preserve"> and examined by a graduate student</w:t>
      </w:r>
      <w:r w:rsidR="004B509E">
        <w:rPr>
          <w:rFonts w:ascii="Calibri" w:hAnsi="Calibri" w:cs="Times New Roman"/>
          <w:color w:val="000000"/>
        </w:rPr>
        <w:t xml:space="preserve"> who is also an instructor in the FIQWS program</w:t>
      </w:r>
      <w:r>
        <w:rPr>
          <w:rFonts w:ascii="Calibri" w:hAnsi="Calibri" w:cs="Times New Roman"/>
          <w:color w:val="000000"/>
        </w:rPr>
        <w:t xml:space="preserve">. </w:t>
      </w:r>
    </w:p>
    <w:p w14:paraId="70792A8E" w14:textId="77777777" w:rsidR="00117FB0" w:rsidRPr="00117FB0" w:rsidRDefault="00117FB0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FB0">
        <w:rPr>
          <w:rFonts w:ascii="Calibri" w:hAnsi="Calibri" w:cs="Times New Roman"/>
          <w:b/>
          <w:bCs/>
          <w:color w:val="000000"/>
        </w:rPr>
        <w:t>Results summary</w:t>
      </w:r>
    </w:p>
    <w:p w14:paraId="374E052B" w14:textId="5D70C6B3" w:rsidR="00ED2B5F" w:rsidRPr="00117FB0" w:rsidRDefault="00ED2B5F" w:rsidP="00ED2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Times New Roman"/>
          <w:color w:val="000000"/>
        </w:rPr>
        <w:t>43 paired</w:t>
      </w:r>
      <w:proofErr w:type="gramEnd"/>
      <w:r>
        <w:rPr>
          <w:rFonts w:ascii="Calibri" w:hAnsi="Calibri" w:cs="Times New Roman"/>
          <w:color w:val="000000"/>
        </w:rPr>
        <w:t xml:space="preserve"> FIQWS classes (86 sections), were offered in Fall 21; 67 </w:t>
      </w:r>
      <w:r w:rsidR="00C426DA">
        <w:rPr>
          <w:rFonts w:ascii="Calibri" w:hAnsi="Calibri" w:cs="Times New Roman"/>
          <w:color w:val="000000"/>
        </w:rPr>
        <w:t xml:space="preserve">(78%) </w:t>
      </w:r>
      <w:r>
        <w:rPr>
          <w:rFonts w:ascii="Calibri" w:hAnsi="Calibri" w:cs="Times New Roman"/>
          <w:color w:val="000000"/>
        </w:rPr>
        <w:t>syllabi</w:t>
      </w:r>
      <w:r w:rsidR="00C426DA">
        <w:rPr>
          <w:rFonts w:ascii="Calibri" w:hAnsi="Calibri" w:cs="Times New Roman"/>
          <w:color w:val="000000"/>
        </w:rPr>
        <w:t xml:space="preserve"> were submitted and reviewed. Of those, </w:t>
      </w:r>
      <w:r>
        <w:rPr>
          <w:rFonts w:ascii="Calibri" w:hAnsi="Calibri" w:cs="Times New Roman"/>
          <w:color w:val="000000"/>
        </w:rPr>
        <w:t>35</w:t>
      </w:r>
      <w:r w:rsidR="00C426DA">
        <w:rPr>
          <w:rFonts w:ascii="Calibri" w:hAnsi="Calibri" w:cs="Times New Roman"/>
          <w:color w:val="000000"/>
        </w:rPr>
        <w:t xml:space="preserve"> came from</w:t>
      </w:r>
      <w:r>
        <w:rPr>
          <w:rFonts w:ascii="Calibri" w:hAnsi="Calibri" w:cs="Times New Roman"/>
          <w:color w:val="000000"/>
        </w:rPr>
        <w:t xml:space="preserve"> topic and 32 </w:t>
      </w:r>
      <w:r w:rsidR="00C426DA">
        <w:rPr>
          <w:rFonts w:ascii="Calibri" w:hAnsi="Calibri" w:cs="Times New Roman"/>
          <w:color w:val="000000"/>
        </w:rPr>
        <w:t>from composition sections.</w:t>
      </w:r>
      <w:r>
        <w:rPr>
          <w:rFonts w:ascii="Calibri" w:hAnsi="Calibri" w:cs="Times New Roman"/>
          <w:color w:val="000000"/>
        </w:rPr>
        <w:t xml:space="preserve"> </w:t>
      </w:r>
      <w:proofErr w:type="gramStart"/>
      <w:r>
        <w:rPr>
          <w:rFonts w:ascii="Calibri" w:hAnsi="Calibri" w:cs="Times New Roman"/>
          <w:color w:val="000000"/>
        </w:rPr>
        <w:t>25</w:t>
      </w:r>
      <w:proofErr w:type="gramEnd"/>
      <w:r>
        <w:rPr>
          <w:rFonts w:ascii="Calibri" w:hAnsi="Calibri" w:cs="Times New Roman"/>
          <w:color w:val="000000"/>
        </w:rPr>
        <w:t xml:space="preserve"> FIQWS pairs</w:t>
      </w:r>
      <w:r w:rsidR="00C426DA">
        <w:rPr>
          <w:rFonts w:ascii="Calibri" w:hAnsi="Calibri" w:cs="Times New Roman"/>
          <w:color w:val="000000"/>
        </w:rPr>
        <w:t xml:space="preserve"> (58%)</w:t>
      </w:r>
      <w:r>
        <w:rPr>
          <w:rFonts w:ascii="Calibri" w:hAnsi="Calibri" w:cs="Times New Roman"/>
          <w:color w:val="000000"/>
        </w:rPr>
        <w:t xml:space="preserve"> had syllabi for both sections. </w:t>
      </w:r>
    </w:p>
    <w:p w14:paraId="1CFEB774" w14:textId="2E7BBE7F" w:rsidR="00117FB0" w:rsidRPr="00117FB0" w:rsidRDefault="00ED2B5F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color w:val="000000"/>
        </w:rPr>
        <w:t xml:space="preserve">All </w:t>
      </w:r>
      <w:r w:rsidR="00117FB0" w:rsidRPr="00117FB0">
        <w:rPr>
          <w:rFonts w:ascii="Calibri" w:hAnsi="Calibri" w:cs="Times New Roman"/>
          <w:color w:val="000000"/>
        </w:rPr>
        <w:t xml:space="preserve">syllabi included </w:t>
      </w:r>
      <w:r w:rsidR="00087852">
        <w:rPr>
          <w:rFonts w:ascii="Calibri" w:hAnsi="Calibri" w:cs="Times New Roman"/>
          <w:color w:val="000000"/>
        </w:rPr>
        <w:t xml:space="preserve">the course </w:t>
      </w:r>
      <w:r w:rsidR="00117FB0" w:rsidRPr="00117FB0">
        <w:rPr>
          <w:rFonts w:ascii="Calibri" w:hAnsi="Calibri" w:cs="Times New Roman"/>
          <w:color w:val="000000"/>
        </w:rPr>
        <w:t>practical in</w:t>
      </w:r>
      <w:r w:rsidR="00087852">
        <w:rPr>
          <w:rFonts w:ascii="Calibri" w:hAnsi="Calibri" w:cs="Times New Roman"/>
          <w:color w:val="000000"/>
        </w:rPr>
        <w:t>formation including instructor name and contact, course title, and meeting times.</w:t>
      </w:r>
    </w:p>
    <w:p w14:paraId="72D09CFA" w14:textId="709BB981" w:rsidR="00117FB0" w:rsidRPr="00117FB0" w:rsidRDefault="00087852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color w:val="000000"/>
        </w:rPr>
        <w:t xml:space="preserve">All </w:t>
      </w:r>
      <w:r w:rsidR="004B509E">
        <w:rPr>
          <w:rFonts w:ascii="Calibri" w:hAnsi="Calibri" w:cs="Times New Roman"/>
          <w:color w:val="000000"/>
        </w:rPr>
        <w:t xml:space="preserve">but one </w:t>
      </w:r>
      <w:r>
        <w:rPr>
          <w:rFonts w:ascii="Calibri" w:hAnsi="Calibri" w:cs="Times New Roman"/>
          <w:color w:val="000000"/>
        </w:rPr>
        <w:t>included General Education learning outcomes and most included</w:t>
      </w:r>
      <w:r w:rsidR="00117FB0" w:rsidRPr="00117FB0">
        <w:rPr>
          <w:rFonts w:ascii="Calibri" w:hAnsi="Calibri" w:cs="Times New Roman"/>
          <w:color w:val="000000"/>
        </w:rPr>
        <w:t xml:space="preserve"> disciplinary learning outcomes</w:t>
      </w:r>
      <w:r>
        <w:rPr>
          <w:rFonts w:ascii="Calibri" w:hAnsi="Calibri" w:cs="Times New Roman"/>
          <w:color w:val="000000"/>
        </w:rPr>
        <w:t xml:space="preserve"> as well</w:t>
      </w:r>
      <w:r w:rsidR="00117FB0" w:rsidRPr="00117FB0">
        <w:rPr>
          <w:rFonts w:ascii="Calibri" w:hAnsi="Calibri" w:cs="Times New Roman"/>
          <w:color w:val="000000"/>
        </w:rPr>
        <w:t>.</w:t>
      </w:r>
    </w:p>
    <w:p w14:paraId="482319BB" w14:textId="78995056" w:rsidR="00117FB0" w:rsidRPr="00117FB0" w:rsidRDefault="00087852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color w:val="000000"/>
        </w:rPr>
        <w:t>All but one (98%)</w:t>
      </w:r>
      <w:r w:rsidR="00F92B43">
        <w:rPr>
          <w:rFonts w:ascii="Calibri" w:hAnsi="Calibri" w:cs="Times New Roman"/>
          <w:color w:val="000000"/>
        </w:rPr>
        <w:t xml:space="preserve"> </w:t>
      </w:r>
      <w:r w:rsidR="00117FB0" w:rsidRPr="00117FB0">
        <w:rPr>
          <w:rFonts w:ascii="Calibri" w:hAnsi="Calibri" w:cs="Times New Roman"/>
          <w:color w:val="000000"/>
        </w:rPr>
        <w:t>include</w:t>
      </w:r>
      <w:r w:rsidR="00F92B43">
        <w:rPr>
          <w:rFonts w:ascii="Calibri" w:hAnsi="Calibri" w:cs="Times New Roman"/>
          <w:color w:val="000000"/>
        </w:rPr>
        <w:t>d</w:t>
      </w:r>
      <w:r w:rsidR="00117FB0" w:rsidRPr="00117FB0">
        <w:rPr>
          <w:rFonts w:ascii="Calibri" w:hAnsi="Calibri" w:cs="Times New Roman"/>
          <w:color w:val="000000"/>
        </w:rPr>
        <w:t xml:space="preserve"> a grade breakdown.</w:t>
      </w:r>
    </w:p>
    <w:p w14:paraId="7345700A" w14:textId="77777777" w:rsidR="00447BAB" w:rsidRDefault="003A158A" w:rsidP="00447BAB">
      <w:pPr>
        <w:spacing w:line="240" w:lineRule="auto"/>
        <w:rPr>
          <w:rFonts w:ascii="Calibri" w:hAnsi="Calibri" w:cs="Times New Roman"/>
          <w:color w:val="000000"/>
        </w:rPr>
      </w:pPr>
      <w:proofErr w:type="gramStart"/>
      <w:r>
        <w:rPr>
          <w:rFonts w:ascii="Calibri" w:hAnsi="Calibri" w:cs="Times New Roman"/>
          <w:color w:val="000000"/>
        </w:rPr>
        <w:t>28</w:t>
      </w:r>
      <w:proofErr w:type="gramEnd"/>
      <w:r>
        <w:rPr>
          <w:rFonts w:ascii="Calibri" w:hAnsi="Calibri" w:cs="Times New Roman"/>
          <w:color w:val="000000"/>
        </w:rPr>
        <w:t xml:space="preserve"> topic syllabi (80%) and 26 composition syllabi (81%) included information on assignments (description and due dates); only a handful (1 topic and 6 composition) included the actual prompts. </w:t>
      </w:r>
      <w:r w:rsidR="00447BAB" w:rsidRPr="00117FB0">
        <w:rPr>
          <w:rFonts w:ascii="Calibri" w:hAnsi="Calibri" w:cs="Times New Roman"/>
          <w:color w:val="000000"/>
        </w:rPr>
        <w:t>Only one (1) syllabus included fully detailed information on each assignment throughout the semester.</w:t>
      </w:r>
    </w:p>
    <w:p w14:paraId="42E006F1" w14:textId="4E0C69AD" w:rsidR="003A158A" w:rsidRDefault="003A158A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10 topic syllabi (29%) included information on the library visit (required part of the course); </w:t>
      </w:r>
      <w:proofErr w:type="gramStart"/>
      <w:r>
        <w:rPr>
          <w:rFonts w:ascii="Calibri" w:hAnsi="Calibri" w:cs="Times New Roman"/>
          <w:color w:val="000000"/>
        </w:rPr>
        <w:t>6</w:t>
      </w:r>
      <w:proofErr w:type="gramEnd"/>
      <w:r>
        <w:rPr>
          <w:rFonts w:ascii="Calibri" w:hAnsi="Calibri" w:cs="Times New Roman"/>
          <w:color w:val="000000"/>
        </w:rPr>
        <w:t xml:space="preserve"> composition syllabi did so, although the library visit is optional for them.</w:t>
      </w:r>
    </w:p>
    <w:p w14:paraId="73CB4FE6" w14:textId="0968AADE" w:rsidR="003A158A" w:rsidRDefault="003A158A" w:rsidP="003A158A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10 topic syllabi (29%)</w:t>
      </w:r>
      <w:r w:rsidR="00447BAB">
        <w:rPr>
          <w:rFonts w:ascii="Calibri" w:hAnsi="Calibri" w:cs="Times New Roman"/>
          <w:color w:val="000000"/>
        </w:rPr>
        <w:t xml:space="preserve"> </w:t>
      </w:r>
      <w:r w:rsidR="00857141">
        <w:rPr>
          <w:rFonts w:ascii="Calibri" w:hAnsi="Calibri" w:cs="Times New Roman"/>
          <w:color w:val="000000"/>
        </w:rPr>
        <w:t xml:space="preserve">and </w:t>
      </w:r>
      <w:proofErr w:type="gramStart"/>
      <w:r w:rsidR="00857141">
        <w:rPr>
          <w:rFonts w:ascii="Calibri" w:hAnsi="Calibri" w:cs="Times New Roman"/>
          <w:color w:val="000000"/>
        </w:rPr>
        <w:t>6</w:t>
      </w:r>
      <w:proofErr w:type="gramEnd"/>
      <w:r w:rsidR="00857141">
        <w:rPr>
          <w:rFonts w:ascii="Calibri" w:hAnsi="Calibri" w:cs="Times New Roman"/>
          <w:color w:val="000000"/>
        </w:rPr>
        <w:t xml:space="preserve"> composition syllabi (21) </w:t>
      </w:r>
      <w:r>
        <w:rPr>
          <w:rFonts w:ascii="Calibri" w:hAnsi="Calibri" w:cs="Times New Roman"/>
          <w:color w:val="000000"/>
        </w:rPr>
        <w:t>included midterm conferences date (strongly recommended part of the course)</w:t>
      </w:r>
      <w:r w:rsidR="00447BAB">
        <w:rPr>
          <w:rFonts w:ascii="Calibri" w:hAnsi="Calibri" w:cs="Times New Roman"/>
          <w:color w:val="000000"/>
        </w:rPr>
        <w:t>.</w:t>
      </w:r>
    </w:p>
    <w:p w14:paraId="656C5EEB" w14:textId="5C5CD77E" w:rsidR="00E448EA" w:rsidRDefault="00E448EA" w:rsidP="00117FB0">
      <w:pPr>
        <w:spacing w:line="240" w:lineRule="auto"/>
        <w:rPr>
          <w:rFonts w:ascii="Calibri" w:hAnsi="Calibri" w:cs="Times New Roman"/>
          <w:color w:val="000000"/>
        </w:rPr>
      </w:pPr>
      <w:proofErr w:type="gramStart"/>
      <w:r>
        <w:rPr>
          <w:rFonts w:ascii="Calibri" w:hAnsi="Calibri" w:cs="Times New Roman"/>
          <w:color w:val="000000"/>
        </w:rPr>
        <w:t>29</w:t>
      </w:r>
      <w:proofErr w:type="gramEnd"/>
      <w:r>
        <w:rPr>
          <w:rFonts w:ascii="Calibri" w:hAnsi="Calibri" w:cs="Times New Roman"/>
          <w:color w:val="000000"/>
        </w:rPr>
        <w:t xml:space="preserve"> topic (83%) and 30 composition (94%) syllabi </w:t>
      </w:r>
      <w:r w:rsidR="00117FB0" w:rsidRPr="00117FB0">
        <w:rPr>
          <w:rFonts w:ascii="Calibri" w:hAnsi="Calibri" w:cs="Times New Roman"/>
          <w:color w:val="000000"/>
        </w:rPr>
        <w:t>include</w:t>
      </w:r>
      <w:r w:rsidR="00F92B43">
        <w:rPr>
          <w:rFonts w:ascii="Calibri" w:hAnsi="Calibri" w:cs="Times New Roman"/>
          <w:color w:val="000000"/>
        </w:rPr>
        <w:t>d</w:t>
      </w:r>
      <w:r w:rsidR="00117FB0" w:rsidRPr="00117FB0">
        <w:rPr>
          <w:rFonts w:ascii="Calibri" w:hAnsi="Calibri" w:cs="Times New Roman"/>
          <w:color w:val="000000"/>
        </w:rPr>
        <w:t xml:space="preserve"> the integrity statement </w:t>
      </w:r>
      <w:r>
        <w:rPr>
          <w:rFonts w:ascii="Calibri" w:hAnsi="Calibri" w:cs="Times New Roman"/>
          <w:color w:val="000000"/>
        </w:rPr>
        <w:t>(required).</w:t>
      </w:r>
    </w:p>
    <w:p w14:paraId="059EFEF7" w14:textId="578A676F" w:rsidR="00117FB0" w:rsidRPr="00117FB0" w:rsidRDefault="00E448EA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Times New Roman"/>
          <w:color w:val="000000"/>
        </w:rPr>
        <w:t>30</w:t>
      </w:r>
      <w:proofErr w:type="gramEnd"/>
      <w:r>
        <w:rPr>
          <w:rFonts w:ascii="Calibri" w:hAnsi="Calibri" w:cs="Times New Roman"/>
          <w:color w:val="000000"/>
        </w:rPr>
        <w:t xml:space="preserve"> topic (86%) and 29 composition (90%) syllabi </w:t>
      </w:r>
      <w:r w:rsidR="00117FB0" w:rsidRPr="00117FB0">
        <w:rPr>
          <w:rFonts w:ascii="Calibri" w:hAnsi="Calibri" w:cs="Times New Roman"/>
          <w:color w:val="000000"/>
        </w:rPr>
        <w:t>and/or information for student support services.</w:t>
      </w:r>
    </w:p>
    <w:p w14:paraId="73E7233F" w14:textId="44B5D1CE" w:rsidR="00857141" w:rsidRPr="00857141" w:rsidRDefault="00857141" w:rsidP="008571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141">
        <w:rPr>
          <w:rFonts w:ascii="Calibri" w:hAnsi="Calibri" w:cs="Times New Roman"/>
          <w:i/>
          <w:color w:val="000000"/>
        </w:rPr>
        <w:lastRenderedPageBreak/>
        <w:t>Note:</w:t>
      </w:r>
      <w:r>
        <w:rPr>
          <w:rFonts w:ascii="Calibri" w:hAnsi="Calibri" w:cs="Times New Roman"/>
          <w:i/>
          <w:color w:val="000000"/>
        </w:rPr>
        <w:t xml:space="preserve"> </w:t>
      </w:r>
      <w:r w:rsidRPr="00857141">
        <w:rPr>
          <w:rFonts w:ascii="Calibri" w:hAnsi="Calibri" w:cs="Times New Roman"/>
          <w:i/>
          <w:color w:val="000000"/>
        </w:rPr>
        <w:t xml:space="preserve">Both syllabi were available for 25 sections. </w:t>
      </w:r>
      <w:proofErr w:type="gramStart"/>
      <w:r w:rsidRPr="00857141">
        <w:rPr>
          <w:rFonts w:ascii="Calibri" w:hAnsi="Calibri" w:cs="Times New Roman"/>
          <w:i/>
          <w:color w:val="000000"/>
        </w:rPr>
        <w:t>16</w:t>
      </w:r>
      <w:proofErr w:type="gramEnd"/>
      <w:r w:rsidRPr="00857141">
        <w:rPr>
          <w:rFonts w:ascii="Calibri" w:hAnsi="Calibri" w:cs="Times New Roman"/>
          <w:i/>
          <w:color w:val="000000"/>
        </w:rPr>
        <w:t xml:space="preserve"> </w:t>
      </w:r>
      <w:r w:rsidR="00B61908">
        <w:rPr>
          <w:rFonts w:ascii="Calibri" w:hAnsi="Calibri" w:cs="Times New Roman"/>
          <w:i/>
          <w:color w:val="000000"/>
        </w:rPr>
        <w:t xml:space="preserve">(64%) </w:t>
      </w:r>
      <w:r w:rsidRPr="00857141">
        <w:rPr>
          <w:rFonts w:ascii="Calibri" w:hAnsi="Calibri" w:cs="Times New Roman"/>
          <w:i/>
          <w:color w:val="000000"/>
        </w:rPr>
        <w:t>were considere</w:t>
      </w:r>
      <w:r w:rsidR="00C426DA">
        <w:rPr>
          <w:rFonts w:ascii="Calibri" w:hAnsi="Calibri" w:cs="Times New Roman"/>
          <w:i/>
          <w:color w:val="000000"/>
        </w:rPr>
        <w:t>d collaborative with each other,</w:t>
      </w:r>
      <w:r w:rsidRPr="00857141">
        <w:rPr>
          <w:rFonts w:ascii="Calibri" w:hAnsi="Calibri" w:cs="Times New Roman"/>
          <w:i/>
          <w:color w:val="000000"/>
        </w:rPr>
        <w:t xml:space="preserve"> two </w:t>
      </w:r>
      <w:r w:rsidR="00B61908">
        <w:rPr>
          <w:rFonts w:ascii="Calibri" w:hAnsi="Calibri" w:cs="Times New Roman"/>
          <w:i/>
          <w:color w:val="000000"/>
        </w:rPr>
        <w:t xml:space="preserve">(8%) </w:t>
      </w:r>
      <w:r w:rsidRPr="00857141">
        <w:rPr>
          <w:rFonts w:ascii="Calibri" w:hAnsi="Calibri" w:cs="Times New Roman"/>
          <w:i/>
          <w:color w:val="000000"/>
        </w:rPr>
        <w:t xml:space="preserve">were partially coordinated, six </w:t>
      </w:r>
      <w:r w:rsidR="00B61908">
        <w:rPr>
          <w:rFonts w:ascii="Calibri" w:hAnsi="Calibri" w:cs="Times New Roman"/>
          <w:i/>
          <w:color w:val="000000"/>
        </w:rPr>
        <w:t xml:space="preserve">(24%) </w:t>
      </w:r>
      <w:r w:rsidRPr="00857141">
        <w:rPr>
          <w:rFonts w:ascii="Calibri" w:hAnsi="Calibri" w:cs="Times New Roman"/>
          <w:i/>
          <w:color w:val="000000"/>
        </w:rPr>
        <w:t>were not, and one pair is unclear. The collaborative nature of the remaining syllabi is unclear as</w:t>
      </w:r>
      <w:r w:rsidR="00C426DA">
        <w:rPr>
          <w:rFonts w:ascii="Calibri" w:hAnsi="Calibri" w:cs="Times New Roman"/>
          <w:i/>
          <w:color w:val="000000"/>
        </w:rPr>
        <w:t xml:space="preserve"> they we</w:t>
      </w:r>
      <w:r w:rsidRPr="00857141">
        <w:rPr>
          <w:rFonts w:ascii="Calibri" w:hAnsi="Calibri" w:cs="Times New Roman"/>
          <w:i/>
          <w:color w:val="000000"/>
        </w:rPr>
        <w:t xml:space="preserve">re unpaired. </w:t>
      </w:r>
    </w:p>
    <w:p w14:paraId="3CC83888" w14:textId="77777777" w:rsidR="00117FB0" w:rsidRPr="00117FB0" w:rsidRDefault="00117FB0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FB0">
        <w:rPr>
          <w:rFonts w:ascii="Calibri" w:hAnsi="Calibri" w:cs="Times New Roman"/>
          <w:b/>
          <w:bCs/>
          <w:color w:val="000000"/>
        </w:rPr>
        <w:t>Conclusions</w:t>
      </w:r>
    </w:p>
    <w:p w14:paraId="682D8395" w14:textId="77A0C04F" w:rsidR="00117FB0" w:rsidRDefault="00676274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All syllabi include course practical information and the majority of them state learning outcomes, grade breakdown,</w:t>
      </w:r>
      <w:r w:rsidR="00372E83" w:rsidRPr="00372E83">
        <w:rPr>
          <w:rFonts w:ascii="Calibri" w:hAnsi="Calibri" w:cs="Times New Roman"/>
          <w:color w:val="000000"/>
        </w:rPr>
        <w:t xml:space="preserve"> </w:t>
      </w:r>
      <w:r w:rsidR="00372E83">
        <w:rPr>
          <w:rFonts w:ascii="Calibri" w:hAnsi="Calibri" w:cs="Times New Roman"/>
          <w:color w:val="000000"/>
        </w:rPr>
        <w:t xml:space="preserve">the </w:t>
      </w:r>
      <w:r w:rsidR="00372E83" w:rsidRPr="00117FB0">
        <w:rPr>
          <w:rFonts w:ascii="Calibri" w:hAnsi="Calibri" w:cs="Times New Roman"/>
          <w:color w:val="000000"/>
        </w:rPr>
        <w:t xml:space="preserve">integrity statement, </w:t>
      </w:r>
      <w:r w:rsidR="00372E83">
        <w:rPr>
          <w:rFonts w:ascii="Calibri" w:hAnsi="Calibri" w:cs="Times New Roman"/>
          <w:color w:val="000000"/>
        </w:rPr>
        <w:t xml:space="preserve">and </w:t>
      </w:r>
      <w:r w:rsidR="00372E83" w:rsidRPr="00117FB0">
        <w:rPr>
          <w:rFonts w:ascii="Calibri" w:hAnsi="Calibri" w:cs="Times New Roman"/>
          <w:color w:val="000000"/>
        </w:rPr>
        <w:t>student support services information</w:t>
      </w:r>
      <w:r w:rsidR="00372E83">
        <w:rPr>
          <w:rFonts w:ascii="Calibri" w:hAnsi="Calibri" w:cs="Times New Roman"/>
          <w:color w:val="000000"/>
        </w:rPr>
        <w:t xml:space="preserve">. Most syllabi are lacking information on </w:t>
      </w:r>
      <w:r w:rsidR="00B61908">
        <w:rPr>
          <w:rFonts w:ascii="Calibri" w:hAnsi="Calibri" w:cs="Times New Roman"/>
          <w:color w:val="000000"/>
        </w:rPr>
        <w:t xml:space="preserve">the library session and </w:t>
      </w:r>
      <w:r w:rsidR="00372E83" w:rsidRPr="00117FB0">
        <w:rPr>
          <w:rFonts w:ascii="Calibri" w:hAnsi="Calibri" w:cs="Times New Roman"/>
          <w:color w:val="000000"/>
        </w:rPr>
        <w:t>midt</w:t>
      </w:r>
      <w:r w:rsidR="00B61908">
        <w:rPr>
          <w:rFonts w:ascii="Calibri" w:hAnsi="Calibri" w:cs="Times New Roman"/>
          <w:color w:val="000000"/>
        </w:rPr>
        <w:t>erm conferences</w:t>
      </w:r>
      <w:r w:rsidR="00372E83" w:rsidRPr="00117FB0">
        <w:rPr>
          <w:rFonts w:ascii="Calibri" w:hAnsi="Calibri" w:cs="Times New Roman"/>
          <w:color w:val="000000"/>
        </w:rPr>
        <w:t>.</w:t>
      </w:r>
      <w:r w:rsidR="006528BA">
        <w:rPr>
          <w:rFonts w:ascii="Calibri" w:hAnsi="Calibri" w:cs="Times New Roman"/>
          <w:color w:val="000000"/>
        </w:rPr>
        <w:t xml:space="preserve"> </w:t>
      </w:r>
      <w:r w:rsidR="00C426DA">
        <w:rPr>
          <w:rFonts w:ascii="Calibri" w:hAnsi="Calibri" w:cs="Times New Roman"/>
          <w:color w:val="000000"/>
        </w:rPr>
        <w:t>Based on available data, a quarter of sections do not appear collaborative.</w:t>
      </w:r>
      <w:r w:rsidR="00117FB0" w:rsidRPr="00117FB0">
        <w:rPr>
          <w:rFonts w:ascii="Calibri" w:hAnsi="Calibri" w:cs="Times New Roman"/>
          <w:color w:val="000000"/>
        </w:rPr>
        <w:t xml:space="preserve"> </w:t>
      </w:r>
    </w:p>
    <w:p w14:paraId="6CFE9866" w14:textId="20945CF2" w:rsidR="004F1B00" w:rsidRPr="00AC2C2F" w:rsidRDefault="004F1B00" w:rsidP="00117FB0">
      <w:pPr>
        <w:spacing w:line="240" w:lineRule="auto"/>
        <w:rPr>
          <w:rFonts w:ascii="Calibri" w:hAnsi="Calibri" w:cs="Times New Roman"/>
          <w:i/>
          <w:color w:val="000000"/>
        </w:rPr>
      </w:pPr>
      <w:r w:rsidRPr="00AC2C2F">
        <w:rPr>
          <w:rFonts w:ascii="Calibri" w:hAnsi="Calibri" w:cs="Times New Roman"/>
          <w:i/>
          <w:color w:val="000000"/>
        </w:rPr>
        <w:t xml:space="preserve">NB. During the pandemic, the usual three-hour orientation session, which included </w:t>
      </w:r>
      <w:r w:rsidR="00AC2C2F" w:rsidRPr="00AC2C2F">
        <w:rPr>
          <w:rFonts w:ascii="Calibri" w:hAnsi="Calibri" w:cs="Times New Roman"/>
          <w:i/>
          <w:color w:val="000000"/>
        </w:rPr>
        <w:t>a</w:t>
      </w:r>
      <w:r w:rsidRPr="00AC2C2F">
        <w:rPr>
          <w:rFonts w:ascii="Calibri" w:hAnsi="Calibri" w:cs="Times New Roman"/>
          <w:i/>
          <w:color w:val="000000"/>
        </w:rPr>
        <w:t xml:space="preserve"> one-hour overview/presentation and two-hour individual </w:t>
      </w:r>
      <w:r w:rsidR="00AC2C2F" w:rsidRPr="00AC2C2F">
        <w:rPr>
          <w:rFonts w:ascii="Calibri" w:hAnsi="Calibri" w:cs="Times New Roman"/>
          <w:i/>
          <w:color w:val="000000"/>
        </w:rPr>
        <w:t xml:space="preserve">breakout </w:t>
      </w:r>
      <w:r w:rsidRPr="00AC2C2F">
        <w:rPr>
          <w:rFonts w:ascii="Calibri" w:hAnsi="Calibri" w:cs="Times New Roman"/>
          <w:i/>
          <w:color w:val="000000"/>
        </w:rPr>
        <w:t xml:space="preserve">collaboration sessions, was reduced to </w:t>
      </w:r>
      <w:r w:rsidR="00AC2C2F" w:rsidRPr="00AC2C2F">
        <w:rPr>
          <w:rFonts w:ascii="Calibri" w:hAnsi="Calibri" w:cs="Times New Roman"/>
          <w:i/>
          <w:color w:val="000000"/>
        </w:rPr>
        <w:t>one-hour</w:t>
      </w:r>
      <w:r w:rsidRPr="00AC2C2F">
        <w:rPr>
          <w:rFonts w:ascii="Calibri" w:hAnsi="Calibri" w:cs="Times New Roman"/>
          <w:i/>
          <w:color w:val="000000"/>
        </w:rPr>
        <w:t xml:space="preserve"> optional presentation session</w:t>
      </w:r>
      <w:r w:rsidR="00AC2C2F" w:rsidRPr="00AC2C2F">
        <w:rPr>
          <w:rFonts w:ascii="Calibri" w:hAnsi="Calibri" w:cs="Times New Roman"/>
          <w:i/>
          <w:color w:val="000000"/>
        </w:rPr>
        <w:t>. Funds were not available to compensate instructors for their time and, with zoom environment, instructors were encouraged to schedule their own meeting time rather than make it a part of a large orientation session.</w:t>
      </w:r>
    </w:p>
    <w:p w14:paraId="351DE497" w14:textId="3D4EFC4B" w:rsidR="00117FB0" w:rsidRPr="00117FB0" w:rsidRDefault="00117FB0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FB0">
        <w:rPr>
          <w:rFonts w:ascii="Calibri" w:hAnsi="Calibri" w:cs="Times New Roman"/>
          <w:b/>
          <w:bCs/>
          <w:color w:val="000000"/>
        </w:rPr>
        <w:t>Recommendations</w:t>
      </w:r>
      <w:r w:rsidR="00310692">
        <w:rPr>
          <w:rFonts w:ascii="Calibri" w:hAnsi="Calibri" w:cs="Times New Roman"/>
          <w:b/>
          <w:bCs/>
          <w:color w:val="000000"/>
        </w:rPr>
        <w:t xml:space="preserve"> - DRAFT</w:t>
      </w:r>
    </w:p>
    <w:p w14:paraId="56D73930" w14:textId="26A60CB9" w:rsidR="00117FB0" w:rsidRDefault="00BC3371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(</w:t>
      </w:r>
      <w:r w:rsidR="0066150D">
        <w:rPr>
          <w:rFonts w:ascii="Calibri" w:hAnsi="Calibri" w:cs="Times New Roman"/>
          <w:color w:val="000000"/>
        </w:rPr>
        <w:t>Re</w:t>
      </w:r>
      <w:proofErr w:type="gramStart"/>
      <w:r>
        <w:rPr>
          <w:rFonts w:ascii="Calibri" w:hAnsi="Calibri" w:cs="Times New Roman"/>
          <w:color w:val="000000"/>
        </w:rPr>
        <w:t>)develop</w:t>
      </w:r>
      <w:proofErr w:type="gramEnd"/>
      <w:r>
        <w:rPr>
          <w:rFonts w:ascii="Calibri" w:hAnsi="Calibri" w:cs="Times New Roman"/>
          <w:color w:val="000000"/>
        </w:rPr>
        <w:t>/s</w:t>
      </w:r>
      <w:r w:rsidR="0066150D">
        <w:rPr>
          <w:rFonts w:ascii="Calibri" w:hAnsi="Calibri" w:cs="Times New Roman"/>
          <w:color w:val="000000"/>
        </w:rPr>
        <w:t>trengthen faculty orientation session</w:t>
      </w:r>
      <w:r w:rsidR="00117FB0" w:rsidRPr="00117FB0">
        <w:rPr>
          <w:rFonts w:ascii="Calibri" w:hAnsi="Calibri" w:cs="Times New Roman"/>
          <w:color w:val="000000"/>
        </w:rPr>
        <w:t xml:space="preserve"> with an emphasis on more comprehensive direction regarding collaboration expectations, and must-have elements to include on a syllabus (i.e., support services, integrity statement, et al..).</w:t>
      </w:r>
    </w:p>
    <w:p w14:paraId="2A06B1A4" w14:textId="2E0C32CC" w:rsidR="00124E1B" w:rsidRPr="00117FB0" w:rsidRDefault="00124E1B" w:rsidP="0011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color w:val="000000"/>
        </w:rPr>
        <w:t>Provide a syllabus</w:t>
      </w:r>
      <w:r w:rsidR="00BC3371">
        <w:rPr>
          <w:rFonts w:ascii="Calibri" w:hAnsi="Calibri" w:cs="Times New Roman"/>
          <w:color w:val="000000"/>
        </w:rPr>
        <w:t xml:space="preserve"> template and/or a </w:t>
      </w:r>
      <w:r>
        <w:rPr>
          <w:rFonts w:ascii="Calibri" w:hAnsi="Calibri" w:cs="Times New Roman"/>
          <w:color w:val="000000"/>
        </w:rPr>
        <w:t>syllabus checklist</w:t>
      </w:r>
      <w:r w:rsidR="004F1B00">
        <w:rPr>
          <w:rFonts w:ascii="Calibri" w:hAnsi="Calibri" w:cs="Times New Roman"/>
          <w:color w:val="000000"/>
        </w:rPr>
        <w:t xml:space="preserve"> for instructors</w:t>
      </w:r>
    </w:p>
    <w:p w14:paraId="19B9D975" w14:textId="3D47C6F7" w:rsidR="00117FB0" w:rsidRDefault="00BC3371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Provide a semester-activity template (showing</w:t>
      </w:r>
      <w:r w:rsidR="00117FB0" w:rsidRPr="00117FB0">
        <w:rPr>
          <w:rFonts w:ascii="Calibri" w:hAnsi="Calibri" w:cs="Times New Roman"/>
          <w:color w:val="000000"/>
        </w:rPr>
        <w:t xml:space="preserve"> dates to get in tou</w:t>
      </w:r>
      <w:r w:rsidR="004F1B00">
        <w:rPr>
          <w:rFonts w:ascii="Calibri" w:hAnsi="Calibri" w:cs="Times New Roman"/>
          <w:color w:val="000000"/>
        </w:rPr>
        <w:t xml:space="preserve">ch, dates to </w:t>
      </w:r>
      <w:r>
        <w:rPr>
          <w:rFonts w:ascii="Calibri" w:hAnsi="Calibri" w:cs="Times New Roman"/>
          <w:color w:val="000000"/>
        </w:rPr>
        <w:t xml:space="preserve">give </w:t>
      </w:r>
      <w:r w:rsidR="004F1B00">
        <w:rPr>
          <w:rFonts w:ascii="Calibri" w:hAnsi="Calibri" w:cs="Times New Roman"/>
          <w:color w:val="000000"/>
        </w:rPr>
        <w:t>assign</w:t>
      </w:r>
      <w:r>
        <w:rPr>
          <w:rFonts w:ascii="Calibri" w:hAnsi="Calibri" w:cs="Times New Roman"/>
          <w:color w:val="000000"/>
        </w:rPr>
        <w:t>ments</w:t>
      </w:r>
      <w:r w:rsidR="004F1B00">
        <w:rPr>
          <w:rFonts w:ascii="Calibri" w:hAnsi="Calibri" w:cs="Times New Roman"/>
          <w:color w:val="000000"/>
        </w:rPr>
        <w:t xml:space="preserve">, </w:t>
      </w:r>
      <w:r>
        <w:rPr>
          <w:rFonts w:ascii="Calibri" w:hAnsi="Calibri" w:cs="Times New Roman"/>
          <w:color w:val="000000"/>
        </w:rPr>
        <w:t xml:space="preserve">assignment </w:t>
      </w:r>
      <w:r w:rsidR="004F1B00">
        <w:rPr>
          <w:rFonts w:ascii="Calibri" w:hAnsi="Calibri" w:cs="Times New Roman"/>
          <w:color w:val="000000"/>
        </w:rPr>
        <w:t>due dates</w:t>
      </w:r>
      <w:r>
        <w:rPr>
          <w:rFonts w:ascii="Calibri" w:hAnsi="Calibri" w:cs="Times New Roman"/>
          <w:color w:val="000000"/>
        </w:rPr>
        <w:t>…</w:t>
      </w:r>
      <w:r w:rsidR="004F1B00">
        <w:rPr>
          <w:rFonts w:ascii="Calibri" w:hAnsi="Calibri" w:cs="Times New Roman"/>
          <w:color w:val="000000"/>
        </w:rPr>
        <w:t xml:space="preserve">) </w:t>
      </w:r>
      <w:r>
        <w:rPr>
          <w:rFonts w:ascii="Calibri" w:hAnsi="Calibri" w:cs="Times New Roman"/>
          <w:color w:val="000000"/>
        </w:rPr>
        <w:t xml:space="preserve">as a resource </w:t>
      </w:r>
      <w:r w:rsidR="004F1B00">
        <w:rPr>
          <w:rFonts w:ascii="Calibri" w:hAnsi="Calibri" w:cs="Times New Roman"/>
          <w:color w:val="000000"/>
        </w:rPr>
        <w:t>for instructors.</w:t>
      </w:r>
    </w:p>
    <w:p w14:paraId="05A8D4F0" w14:textId="7DEBB16F" w:rsidR="00BC3371" w:rsidRDefault="00BC3371" w:rsidP="00117FB0">
      <w:pPr>
        <w:spacing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Provide collaboration workshops and other pedagogy workshops at TLC</w:t>
      </w:r>
    </w:p>
    <w:p w14:paraId="56F50FAA" w14:textId="41031C34" w:rsidR="00BC3371" w:rsidRDefault="00BC3371" w:rsidP="00117FB0">
      <w:pPr>
        <w:spacing w:line="240" w:lineRule="auto"/>
        <w:rPr>
          <w:rFonts w:ascii="Calibri" w:hAnsi="Calibri" w:cs="Times New Roman"/>
          <w:color w:val="000000"/>
        </w:rPr>
      </w:pPr>
    </w:p>
    <w:p w14:paraId="2E4201D1" w14:textId="77777777" w:rsidR="00BC3371" w:rsidRDefault="00BC3371" w:rsidP="00117FB0">
      <w:pPr>
        <w:spacing w:line="240" w:lineRule="auto"/>
        <w:rPr>
          <w:rFonts w:ascii="Calibri" w:hAnsi="Calibri" w:cs="Times New Roman"/>
          <w:color w:val="000000"/>
        </w:rPr>
      </w:pPr>
      <w:bookmarkStart w:id="0" w:name="_GoBack"/>
      <w:bookmarkEnd w:id="0"/>
    </w:p>
    <w:p w14:paraId="71CEC7EA" w14:textId="7EA2EFFD" w:rsidR="006E4E92" w:rsidRDefault="006E4E92" w:rsidP="00A04335">
      <w:pPr>
        <w:spacing w:after="0" w:line="240" w:lineRule="auto"/>
      </w:pPr>
    </w:p>
    <w:sectPr w:rsidR="006E4E92" w:rsidSect="0096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58"/>
    <w:rsid w:val="00027B0D"/>
    <w:rsid w:val="0005255F"/>
    <w:rsid w:val="00087852"/>
    <w:rsid w:val="00117FB0"/>
    <w:rsid w:val="00120112"/>
    <w:rsid w:val="00124E1B"/>
    <w:rsid w:val="001766E5"/>
    <w:rsid w:val="00260B8A"/>
    <w:rsid w:val="002743A9"/>
    <w:rsid w:val="00310692"/>
    <w:rsid w:val="00372E83"/>
    <w:rsid w:val="003A158A"/>
    <w:rsid w:val="00447BAB"/>
    <w:rsid w:val="0048785C"/>
    <w:rsid w:val="004A00AD"/>
    <w:rsid w:val="004B509E"/>
    <w:rsid w:val="004F1B00"/>
    <w:rsid w:val="00511098"/>
    <w:rsid w:val="0051582E"/>
    <w:rsid w:val="00515E54"/>
    <w:rsid w:val="0059783A"/>
    <w:rsid w:val="005C7592"/>
    <w:rsid w:val="006528BA"/>
    <w:rsid w:val="0066150D"/>
    <w:rsid w:val="00676274"/>
    <w:rsid w:val="006E4E92"/>
    <w:rsid w:val="00857141"/>
    <w:rsid w:val="00964751"/>
    <w:rsid w:val="00981AD2"/>
    <w:rsid w:val="009D0299"/>
    <w:rsid w:val="00A04335"/>
    <w:rsid w:val="00A23428"/>
    <w:rsid w:val="00A93D02"/>
    <w:rsid w:val="00AC2C2F"/>
    <w:rsid w:val="00AC5BBC"/>
    <w:rsid w:val="00B03D74"/>
    <w:rsid w:val="00B157D1"/>
    <w:rsid w:val="00B45FC3"/>
    <w:rsid w:val="00B61908"/>
    <w:rsid w:val="00BC3371"/>
    <w:rsid w:val="00BD6FB8"/>
    <w:rsid w:val="00BE3D06"/>
    <w:rsid w:val="00C426DA"/>
    <w:rsid w:val="00C55330"/>
    <w:rsid w:val="00CA2A2B"/>
    <w:rsid w:val="00D9509E"/>
    <w:rsid w:val="00D975CD"/>
    <w:rsid w:val="00DC2343"/>
    <w:rsid w:val="00E16145"/>
    <w:rsid w:val="00E20703"/>
    <w:rsid w:val="00E448EA"/>
    <w:rsid w:val="00E72F37"/>
    <w:rsid w:val="00E93163"/>
    <w:rsid w:val="00ED2B5F"/>
    <w:rsid w:val="00ED3358"/>
    <w:rsid w:val="00F05333"/>
    <w:rsid w:val="00F3380E"/>
    <w:rsid w:val="00F46A0C"/>
    <w:rsid w:val="00F92B43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43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335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D335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3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5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7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Esser</dc:creator>
  <cp:keywords/>
  <dc:description/>
  <cp:lastModifiedBy>Provost Office A218</cp:lastModifiedBy>
  <cp:revision>18</cp:revision>
  <dcterms:created xsi:type="dcterms:W3CDTF">2022-07-19T13:23:00Z</dcterms:created>
  <dcterms:modified xsi:type="dcterms:W3CDTF">2022-10-05T19:57:00Z</dcterms:modified>
</cp:coreProperties>
</file>