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225" w:rsidRDefault="00821225" w:rsidP="00821225">
      <w:pPr>
        <w:pStyle w:val="Default"/>
        <w:jc w:val="both"/>
        <w:rPr>
          <w:color w:val="FF0000"/>
          <w:sz w:val="22"/>
          <w:szCs w:val="22"/>
        </w:rPr>
      </w:pPr>
      <w:r>
        <w:rPr>
          <w:b/>
          <w:bCs/>
          <w:color w:val="FF0000"/>
          <w:sz w:val="28"/>
          <w:szCs w:val="28"/>
        </w:rPr>
        <w:t>E</w:t>
      </w:r>
      <w:r>
        <w:rPr>
          <w:b/>
          <w:bCs/>
          <w:color w:val="FF0000"/>
          <w:sz w:val="22"/>
          <w:szCs w:val="22"/>
        </w:rPr>
        <w:t xml:space="preserve">XAMPLE OF A </w:t>
      </w:r>
      <w:r>
        <w:rPr>
          <w:b/>
          <w:bCs/>
          <w:color w:val="FF0000"/>
          <w:sz w:val="28"/>
          <w:szCs w:val="28"/>
        </w:rPr>
        <w:t>N</w:t>
      </w:r>
      <w:r>
        <w:rPr>
          <w:b/>
          <w:bCs/>
          <w:color w:val="FF0000"/>
          <w:sz w:val="22"/>
          <w:szCs w:val="22"/>
        </w:rPr>
        <w:t xml:space="preserve">EW </w:t>
      </w:r>
      <w:r>
        <w:rPr>
          <w:b/>
          <w:bCs/>
          <w:color w:val="FF0000"/>
          <w:sz w:val="28"/>
          <w:szCs w:val="28"/>
        </w:rPr>
        <w:t>M</w:t>
      </w:r>
      <w:r>
        <w:rPr>
          <w:b/>
          <w:bCs/>
          <w:color w:val="FF0000"/>
          <w:sz w:val="22"/>
          <w:szCs w:val="22"/>
        </w:rPr>
        <w:t xml:space="preserve">INOR </w:t>
      </w:r>
    </w:p>
    <w:p w:rsidR="00821225" w:rsidRDefault="00821225" w:rsidP="00821225">
      <w:pPr>
        <w:pStyle w:val="Default"/>
        <w:rPr>
          <w:rFonts w:ascii="Times New Roman" w:hAnsi="Times New Roman" w:cs="Times New Roman"/>
          <w:b/>
          <w:bCs/>
          <w:sz w:val="23"/>
          <w:szCs w:val="23"/>
        </w:rPr>
      </w:pPr>
      <w:r>
        <w:rPr>
          <w:rFonts w:ascii="Times New Roman" w:hAnsi="Times New Roman" w:cs="Times New Roman"/>
          <w:b/>
          <w:bCs/>
          <w:sz w:val="23"/>
          <w:szCs w:val="23"/>
        </w:rPr>
        <w:t xml:space="preserve">New Minor in Business Practice </w:t>
      </w:r>
    </w:p>
    <w:p w:rsidR="00821225" w:rsidRDefault="00821225" w:rsidP="00821225">
      <w:pPr>
        <w:pStyle w:val="Default"/>
        <w:rPr>
          <w:rFonts w:ascii="Times New Roman" w:hAnsi="Times New Roman" w:cs="Times New Roman"/>
          <w:b/>
          <w:bCs/>
          <w:sz w:val="23"/>
          <w:szCs w:val="23"/>
        </w:rPr>
      </w:pPr>
      <w:r>
        <w:rPr>
          <w:rFonts w:ascii="Times New Roman" w:hAnsi="Times New Roman" w:cs="Times New Roman"/>
          <w:b/>
          <w:bCs/>
          <w:sz w:val="23"/>
          <w:szCs w:val="23"/>
        </w:rPr>
        <w:t>Offered by the Department of Economics, Accounting and Business Administration.</w:t>
      </w:r>
    </w:p>
    <w:p w:rsidR="00821225" w:rsidRDefault="00821225" w:rsidP="00821225">
      <w:pPr>
        <w:pStyle w:val="Default"/>
        <w:rPr>
          <w:rFonts w:ascii="Times New Roman" w:hAnsi="Times New Roman" w:cs="Times New Roman"/>
          <w:sz w:val="23"/>
          <w:szCs w:val="23"/>
        </w:rPr>
      </w:pPr>
    </w:p>
    <w:p w:rsidR="00821225" w:rsidRDefault="00821225" w:rsidP="00821225">
      <w:pPr>
        <w:pStyle w:val="Default"/>
        <w:rPr>
          <w:rFonts w:ascii="Times New Roman" w:hAnsi="Times New Roman" w:cs="Times New Roman"/>
          <w:sz w:val="23"/>
          <w:szCs w:val="23"/>
        </w:rPr>
      </w:pPr>
    </w:p>
    <w:tbl>
      <w:tblPr>
        <w:tblStyle w:val="PlainTable2"/>
        <w:tblW w:w="0" w:type="auto"/>
        <w:tblLayout w:type="fixed"/>
        <w:tblLook w:val="0000" w:firstRow="0" w:lastRow="0" w:firstColumn="0" w:lastColumn="0" w:noHBand="0" w:noVBand="0"/>
      </w:tblPr>
      <w:tblGrid>
        <w:gridCol w:w="4214"/>
        <w:gridCol w:w="4214"/>
      </w:tblGrid>
      <w:tr w:rsidR="00821225" w:rsidTr="00821225">
        <w:trPr>
          <w:cnfStyle w:val="000000100000" w:firstRow="0" w:lastRow="0" w:firstColumn="0" w:lastColumn="0" w:oddVBand="0" w:evenVBand="0" w:oddHBand="1" w:evenHBand="0" w:firstRowFirstColumn="0" w:firstRowLastColumn="0" w:lastRowFirstColumn="0" w:lastRowLastColumn="0"/>
          <w:trHeight w:val="159"/>
        </w:trPr>
        <w:tc>
          <w:tcPr>
            <w:cnfStyle w:val="000010000000" w:firstRow="0" w:lastRow="0" w:firstColumn="0" w:lastColumn="0" w:oddVBand="1" w:evenVBand="0" w:oddHBand="0" w:evenHBand="0" w:firstRowFirstColumn="0" w:firstRowLastColumn="0" w:lastRowFirstColumn="0" w:lastRowLastColumn="0"/>
            <w:tcW w:w="4214" w:type="dxa"/>
          </w:tcPr>
          <w:p w:rsidR="00821225" w:rsidRDefault="00821225">
            <w:pPr>
              <w:pStyle w:val="Default"/>
              <w:rPr>
                <w:rFonts w:ascii="Times New Roman" w:hAnsi="Times New Roman" w:cs="Times New Roman"/>
                <w:sz w:val="23"/>
                <w:szCs w:val="23"/>
              </w:rPr>
            </w:pPr>
            <w:r>
              <w:rPr>
                <w:rFonts w:ascii="Times New Roman" w:hAnsi="Times New Roman" w:cs="Times New Roman"/>
                <w:b/>
                <w:bCs/>
                <w:sz w:val="23"/>
                <w:szCs w:val="23"/>
              </w:rPr>
              <w:t xml:space="preserve">From : </w:t>
            </w:r>
          </w:p>
        </w:tc>
        <w:tc>
          <w:tcPr>
            <w:cnfStyle w:val="000001000000" w:firstRow="0" w:lastRow="0" w:firstColumn="0" w:lastColumn="0" w:oddVBand="0" w:evenVBand="1" w:oddHBand="0" w:evenHBand="0" w:firstRowFirstColumn="0" w:firstRowLastColumn="0" w:lastRowFirstColumn="0" w:lastRowLastColumn="0"/>
            <w:tcW w:w="4214" w:type="dxa"/>
          </w:tcPr>
          <w:p w:rsidR="00821225" w:rsidRDefault="00821225">
            <w:pPr>
              <w:pStyle w:val="Default"/>
              <w:rPr>
                <w:rFonts w:ascii="Times New Roman" w:hAnsi="Times New Roman" w:cs="Times New Roman"/>
                <w:sz w:val="23"/>
                <w:szCs w:val="23"/>
              </w:rPr>
            </w:pPr>
            <w:r>
              <w:rPr>
                <w:rFonts w:ascii="Times New Roman" w:hAnsi="Times New Roman" w:cs="Times New Roman"/>
                <w:b/>
                <w:bCs/>
                <w:sz w:val="23"/>
                <w:szCs w:val="23"/>
              </w:rPr>
              <w:t xml:space="preserve">To : </w:t>
            </w:r>
          </w:p>
        </w:tc>
      </w:tr>
      <w:tr w:rsidR="00821225" w:rsidTr="00821225">
        <w:trPr>
          <w:trHeight w:val="709"/>
        </w:trPr>
        <w:tc>
          <w:tcPr>
            <w:cnfStyle w:val="000010000000" w:firstRow="0" w:lastRow="0" w:firstColumn="0" w:lastColumn="0" w:oddVBand="1" w:evenVBand="0" w:oddHBand="0" w:evenHBand="0" w:firstRowFirstColumn="0" w:firstRowLastColumn="0" w:lastRowFirstColumn="0" w:lastRowLastColumn="0"/>
            <w:tcW w:w="4214" w:type="dxa"/>
          </w:tcPr>
          <w:p w:rsidR="00821225" w:rsidRDefault="00821225">
            <w:pPr>
              <w:pStyle w:val="Default"/>
              <w:rPr>
                <w:rFonts w:ascii="Times New Roman" w:hAnsi="Times New Roman" w:cs="Times New Roman"/>
                <w:sz w:val="23"/>
                <w:szCs w:val="23"/>
              </w:rPr>
            </w:pPr>
            <w:r>
              <w:rPr>
                <w:rFonts w:ascii="Times New Roman" w:hAnsi="Times New Roman" w:cs="Times New Roman"/>
                <w:sz w:val="23"/>
                <w:szCs w:val="23"/>
              </w:rPr>
              <w:t xml:space="preserve">No such minor is currently offered. </w:t>
            </w:r>
          </w:p>
        </w:tc>
        <w:tc>
          <w:tcPr>
            <w:cnfStyle w:val="000001000000" w:firstRow="0" w:lastRow="0" w:firstColumn="0" w:lastColumn="0" w:oddVBand="0" w:evenVBand="1" w:oddHBand="0" w:evenHBand="0" w:firstRowFirstColumn="0" w:firstRowLastColumn="0" w:lastRowFirstColumn="0" w:lastRowLastColumn="0"/>
            <w:tcW w:w="4214" w:type="dxa"/>
          </w:tcPr>
          <w:p w:rsidR="00821225" w:rsidRDefault="00821225">
            <w:pPr>
              <w:pStyle w:val="Default"/>
              <w:rPr>
                <w:rFonts w:ascii="Times New Roman" w:hAnsi="Times New Roman" w:cs="Times New Roman"/>
                <w:sz w:val="23"/>
                <w:szCs w:val="23"/>
              </w:rPr>
            </w:pPr>
            <w:r>
              <w:rPr>
                <w:rFonts w:ascii="Times New Roman" w:hAnsi="Times New Roman" w:cs="Times New Roman"/>
                <w:b/>
                <w:bCs/>
                <w:sz w:val="23"/>
                <w:szCs w:val="23"/>
              </w:rPr>
              <w:t xml:space="preserve">MINOR IN BUSINESS PRACTICE. </w:t>
            </w:r>
          </w:p>
          <w:p w:rsidR="00821225" w:rsidRDefault="00821225">
            <w:pPr>
              <w:pStyle w:val="Default"/>
              <w:rPr>
                <w:sz w:val="23"/>
                <w:szCs w:val="23"/>
              </w:rPr>
            </w:pPr>
            <w:r>
              <w:rPr>
                <w:rFonts w:ascii="Times New Roman" w:hAnsi="Times New Roman" w:cs="Times New Roman"/>
                <w:sz w:val="23"/>
                <w:szCs w:val="23"/>
              </w:rPr>
              <w:t xml:space="preserve">This minor consists of any four courses with a BBA prefix. Not open to students majoring in Accounting or Business Administration. Students majoring in Economics cannot elect BBA 303 under this minor. </w:t>
            </w:r>
          </w:p>
        </w:tc>
      </w:tr>
      <w:tr w:rsidR="00821225" w:rsidTr="00821225">
        <w:trPr>
          <w:cnfStyle w:val="000000100000" w:firstRow="0" w:lastRow="0" w:firstColumn="0" w:lastColumn="0" w:oddVBand="0" w:evenVBand="0" w:oddHBand="1" w:evenHBand="0" w:firstRowFirstColumn="0" w:firstRowLastColumn="0" w:lastRowFirstColumn="0" w:lastRowLastColumn="0"/>
          <w:trHeight w:val="159"/>
        </w:trPr>
        <w:tc>
          <w:tcPr>
            <w:cnfStyle w:val="000010000000" w:firstRow="0" w:lastRow="0" w:firstColumn="0" w:lastColumn="0" w:oddVBand="1" w:evenVBand="0" w:oddHBand="0" w:evenHBand="0" w:firstRowFirstColumn="0" w:firstRowLastColumn="0" w:lastRowFirstColumn="0" w:lastRowLastColumn="0"/>
            <w:tcW w:w="8428" w:type="dxa"/>
            <w:gridSpan w:val="2"/>
          </w:tcPr>
          <w:p w:rsidR="00821225" w:rsidRDefault="00821225">
            <w:pPr>
              <w:pStyle w:val="Default"/>
              <w:rPr>
                <w:rFonts w:ascii="Times New Roman" w:hAnsi="Times New Roman" w:cs="Times New Roman"/>
                <w:sz w:val="23"/>
                <w:szCs w:val="23"/>
              </w:rPr>
            </w:pPr>
            <w:r>
              <w:rPr>
                <w:rFonts w:ascii="Times New Roman" w:hAnsi="Times New Roman" w:cs="Times New Roman"/>
                <w:b/>
                <w:bCs/>
                <w:sz w:val="23"/>
                <w:szCs w:val="23"/>
              </w:rPr>
              <w:t xml:space="preserve">Rationale </w:t>
            </w:r>
          </w:p>
        </w:tc>
      </w:tr>
      <w:tr w:rsidR="00821225" w:rsidTr="00821225">
        <w:trPr>
          <w:trHeight w:val="1537"/>
        </w:trPr>
        <w:tc>
          <w:tcPr>
            <w:cnfStyle w:val="000010000000" w:firstRow="0" w:lastRow="0" w:firstColumn="0" w:lastColumn="0" w:oddVBand="1" w:evenVBand="0" w:oddHBand="0" w:evenHBand="0" w:firstRowFirstColumn="0" w:firstRowLastColumn="0" w:lastRowFirstColumn="0" w:lastRowLastColumn="0"/>
            <w:tcW w:w="8428" w:type="dxa"/>
            <w:gridSpan w:val="2"/>
          </w:tcPr>
          <w:p w:rsidR="00821225" w:rsidRDefault="00821225">
            <w:pPr>
              <w:pStyle w:val="Default"/>
              <w:rPr>
                <w:rFonts w:ascii="Times New Roman" w:hAnsi="Times New Roman" w:cs="Times New Roman"/>
                <w:sz w:val="23"/>
                <w:szCs w:val="23"/>
              </w:rPr>
            </w:pPr>
            <w:r>
              <w:rPr>
                <w:rFonts w:ascii="Times New Roman" w:hAnsi="Times New Roman" w:cs="Times New Roman"/>
                <w:sz w:val="23"/>
                <w:szCs w:val="23"/>
              </w:rPr>
              <w:t xml:space="preserve">The required sequence of courses provides an adequate preparation for general business practice. Students dropped from the BBA major for not having achieved the minimum 2.7 (B-) cumulative index in the first four BBA-prefixed courses taken in the program, may count these courses toward this minor without loss of credit; however, they cannot elect a new major offered by the Department of Economics, Accounting and Business Administration, with the exception of Economics. </w:t>
            </w:r>
          </w:p>
          <w:p w:rsidR="00821225" w:rsidRDefault="00821225">
            <w:pPr>
              <w:pStyle w:val="Default"/>
              <w:rPr>
                <w:sz w:val="23"/>
                <w:szCs w:val="23"/>
              </w:rPr>
            </w:pPr>
            <w:r>
              <w:rPr>
                <w:rFonts w:ascii="Times New Roman" w:hAnsi="Times New Roman" w:cs="Times New Roman"/>
                <w:sz w:val="23"/>
                <w:szCs w:val="23"/>
              </w:rPr>
              <w:t xml:space="preserve">Students majoring in Economics, conversely, should be given the opportunity to take a series of business courses to improve their career prospects, if they wish. There is no overlap in course requirements of B.A. in Economics and this minor, except that Economics majors must not elect BBA 303 under this minor. </w:t>
            </w:r>
          </w:p>
        </w:tc>
      </w:tr>
      <w:tr w:rsidR="00821225" w:rsidTr="00821225">
        <w:trPr>
          <w:cnfStyle w:val="000000100000" w:firstRow="0" w:lastRow="0" w:firstColumn="0" w:lastColumn="0" w:oddVBand="0" w:evenVBand="0" w:oddHBand="1" w:evenHBand="0" w:firstRowFirstColumn="0" w:firstRowLastColumn="0" w:lastRowFirstColumn="0" w:lastRowLastColumn="0"/>
          <w:trHeight w:val="159"/>
        </w:trPr>
        <w:tc>
          <w:tcPr>
            <w:cnfStyle w:val="000010000000" w:firstRow="0" w:lastRow="0" w:firstColumn="0" w:lastColumn="0" w:oddVBand="1" w:evenVBand="0" w:oddHBand="0" w:evenHBand="0" w:firstRowFirstColumn="0" w:firstRowLastColumn="0" w:lastRowFirstColumn="0" w:lastRowLastColumn="0"/>
            <w:tcW w:w="8428" w:type="dxa"/>
            <w:gridSpan w:val="2"/>
          </w:tcPr>
          <w:p w:rsidR="00821225" w:rsidRDefault="00821225">
            <w:pPr>
              <w:pStyle w:val="Default"/>
              <w:rPr>
                <w:sz w:val="23"/>
                <w:szCs w:val="23"/>
              </w:rPr>
            </w:pPr>
            <w:r>
              <w:rPr>
                <w:rFonts w:ascii="Times New Roman" w:hAnsi="Times New Roman" w:cs="Times New Roman"/>
                <w:b/>
                <w:bCs/>
                <w:sz w:val="23"/>
                <w:szCs w:val="23"/>
              </w:rPr>
              <w:t xml:space="preserve">Effect Outside Department: </w:t>
            </w:r>
            <w:r>
              <w:rPr>
                <w:rFonts w:ascii="Times New Roman" w:hAnsi="Times New Roman" w:cs="Times New Roman"/>
                <w:sz w:val="23"/>
                <w:szCs w:val="23"/>
              </w:rPr>
              <w:t xml:space="preserve">None </w:t>
            </w:r>
          </w:p>
        </w:tc>
      </w:tr>
      <w:tr w:rsidR="00821225" w:rsidTr="00821225">
        <w:trPr>
          <w:trHeight w:val="157"/>
        </w:trPr>
        <w:tc>
          <w:tcPr>
            <w:cnfStyle w:val="000010000000" w:firstRow="0" w:lastRow="0" w:firstColumn="0" w:lastColumn="0" w:oddVBand="1" w:evenVBand="0" w:oddHBand="0" w:evenHBand="0" w:firstRowFirstColumn="0" w:firstRowLastColumn="0" w:lastRowFirstColumn="0" w:lastRowLastColumn="0"/>
            <w:tcW w:w="8428" w:type="dxa"/>
            <w:gridSpan w:val="2"/>
          </w:tcPr>
          <w:p w:rsidR="00821225" w:rsidRDefault="00821225">
            <w:pPr>
              <w:pStyle w:val="Default"/>
              <w:rPr>
                <w:sz w:val="23"/>
                <w:szCs w:val="23"/>
              </w:rPr>
            </w:pPr>
            <w:r>
              <w:rPr>
                <w:rFonts w:ascii="Times New Roman" w:hAnsi="Times New Roman" w:cs="Times New Roman"/>
                <w:sz w:val="23"/>
                <w:szCs w:val="23"/>
              </w:rPr>
              <w:t xml:space="preserve">Date of Department Approval: October 15, 2010 </w:t>
            </w:r>
          </w:p>
        </w:tc>
      </w:tr>
      <w:tr w:rsidR="00821225" w:rsidTr="00821225">
        <w:trPr>
          <w:cnfStyle w:val="000000100000" w:firstRow="0" w:lastRow="0" w:firstColumn="0" w:lastColumn="0" w:oddVBand="0" w:evenVBand="0" w:oddHBand="1" w:evenHBand="0" w:firstRowFirstColumn="0" w:firstRowLastColumn="0" w:lastRowFirstColumn="0" w:lastRowLastColumn="0"/>
          <w:trHeight w:val="157"/>
        </w:trPr>
        <w:tc>
          <w:tcPr>
            <w:cnfStyle w:val="000010000000" w:firstRow="0" w:lastRow="0" w:firstColumn="0" w:lastColumn="0" w:oddVBand="1" w:evenVBand="0" w:oddHBand="0" w:evenHBand="0" w:firstRowFirstColumn="0" w:firstRowLastColumn="0" w:lastRowFirstColumn="0" w:lastRowLastColumn="0"/>
            <w:tcW w:w="8428" w:type="dxa"/>
            <w:gridSpan w:val="2"/>
          </w:tcPr>
          <w:p w:rsidR="00821225" w:rsidRDefault="00821225">
            <w:pPr>
              <w:pStyle w:val="Default"/>
              <w:rPr>
                <w:sz w:val="23"/>
                <w:szCs w:val="23"/>
              </w:rPr>
            </w:pPr>
            <w:r>
              <w:rPr>
                <w:rFonts w:ascii="Times New Roman" w:hAnsi="Times New Roman" w:cs="Times New Roman"/>
                <w:sz w:val="23"/>
                <w:szCs w:val="23"/>
              </w:rPr>
              <w:t>Date of Senate Approval: December 10, 2010</w:t>
            </w:r>
          </w:p>
        </w:tc>
      </w:tr>
    </w:tbl>
    <w:p w:rsidR="00821225" w:rsidRDefault="00821225"/>
    <w:p w:rsidR="00821225" w:rsidRDefault="00821225">
      <w:r>
        <w:br w:type="page"/>
      </w:r>
    </w:p>
    <w:p w:rsidR="00821225" w:rsidRPr="00145B7C" w:rsidRDefault="00821225" w:rsidP="00821225">
      <w:pPr>
        <w:pStyle w:val="Body1"/>
        <w:rPr>
          <w:rFonts w:ascii="Times New Roman" w:hAnsi="Times New Roman"/>
        </w:rPr>
      </w:pPr>
      <w:r w:rsidRPr="00145B7C">
        <w:lastRenderedPageBreak/>
        <w:t>Program: Minor in Arabic Languages and Cultures</w:t>
      </w:r>
    </w:p>
    <w:p w:rsidR="00821225" w:rsidRPr="00145B7C" w:rsidRDefault="00821225" w:rsidP="00821225">
      <w:pPr>
        <w:pStyle w:val="Body1"/>
        <w:rPr>
          <w:rFonts w:ascii="Times New Roman" w:hAnsi="Times New Roman"/>
        </w:rPr>
      </w:pPr>
      <w:r w:rsidRPr="00145B7C">
        <w:t>Program Code: 02199, 60132</w:t>
      </w:r>
    </w:p>
    <w:p w:rsidR="00821225" w:rsidRPr="00145B7C" w:rsidRDefault="00821225" w:rsidP="00821225">
      <w:pPr>
        <w:pStyle w:val="Body1"/>
        <w:rPr>
          <w:rFonts w:ascii="Times New Roman" w:hAnsi="Times New Roman"/>
        </w:rPr>
      </w:pPr>
      <w:r w:rsidRPr="00145B7C">
        <w:t>Department: Foreign Languages &amp; Literatures</w:t>
      </w:r>
    </w:p>
    <w:p w:rsidR="00821225" w:rsidRDefault="00821225" w:rsidP="00821225">
      <w:pPr>
        <w:pStyle w:val="Body1"/>
        <w:rPr>
          <w:b/>
          <w:bCs/>
          <w:color w:val="000000"/>
          <w:sz w:val="27"/>
          <w:szCs w:val="27"/>
        </w:rPr>
      </w:pPr>
      <w:r w:rsidRPr="00145B7C">
        <w:t>Effective: Fall 2014</w:t>
      </w:r>
    </w:p>
    <w:p w:rsidR="00821225" w:rsidRPr="00145B7C" w:rsidRDefault="00821225" w:rsidP="00821225">
      <w:pPr>
        <w:spacing w:before="100" w:beforeAutospacing="1" w:after="100" w:afterAutospacing="1"/>
        <w:rPr>
          <w:rFonts w:ascii="Times New Roman" w:hAnsi="Times New Roman"/>
          <w:color w:val="000000"/>
          <w:sz w:val="27"/>
          <w:szCs w:val="27"/>
        </w:rPr>
      </w:pPr>
      <w:r w:rsidRPr="00145B7C">
        <w:rPr>
          <w:b/>
          <w:bCs/>
          <w:color w:val="000000"/>
          <w:sz w:val="27"/>
          <w:szCs w:val="27"/>
        </w:rPr>
        <w:t>New Minor in Arabic Language and Cultures</w:t>
      </w:r>
    </w:p>
    <w:tbl>
      <w:tblPr>
        <w:tblStyle w:val="TableGrid"/>
        <w:tblW w:w="0" w:type="auto"/>
        <w:tblLook w:val="04A0" w:firstRow="1" w:lastRow="0" w:firstColumn="1" w:lastColumn="0" w:noHBand="0" w:noVBand="1"/>
      </w:tblPr>
      <w:tblGrid>
        <w:gridCol w:w="4560"/>
        <w:gridCol w:w="8390"/>
      </w:tblGrid>
      <w:tr w:rsidR="00821225" w:rsidRPr="00145B7C" w:rsidTr="00A6351E">
        <w:tc>
          <w:tcPr>
            <w:tcW w:w="4582" w:type="dxa"/>
            <w:hideMark/>
          </w:tcPr>
          <w:p w:rsidR="00821225" w:rsidRPr="00145B7C" w:rsidRDefault="00821225" w:rsidP="00A6351E">
            <w:pPr>
              <w:spacing w:before="100" w:beforeAutospacing="1" w:after="100" w:afterAutospacing="1"/>
              <w:rPr>
                <w:rFonts w:ascii="Times New Roman" w:hAnsi="Times New Roman"/>
                <w:sz w:val="24"/>
              </w:rPr>
            </w:pPr>
            <w:r w:rsidRPr="00145B7C">
              <w:rPr>
                <w:b/>
                <w:bCs/>
                <w:sz w:val="24"/>
              </w:rPr>
              <w:t>From :</w:t>
            </w:r>
          </w:p>
        </w:tc>
        <w:tc>
          <w:tcPr>
            <w:tcW w:w="8408" w:type="dxa"/>
            <w:hideMark/>
          </w:tcPr>
          <w:p w:rsidR="00821225" w:rsidRPr="00145B7C" w:rsidRDefault="00821225" w:rsidP="00A6351E">
            <w:pPr>
              <w:spacing w:before="100" w:beforeAutospacing="1" w:after="100" w:afterAutospacing="1"/>
              <w:rPr>
                <w:rFonts w:ascii="Times New Roman" w:hAnsi="Times New Roman"/>
                <w:sz w:val="24"/>
              </w:rPr>
            </w:pPr>
            <w:r w:rsidRPr="00145B7C">
              <w:rPr>
                <w:b/>
                <w:bCs/>
                <w:sz w:val="24"/>
              </w:rPr>
              <w:t>To :</w:t>
            </w:r>
          </w:p>
        </w:tc>
      </w:tr>
      <w:tr w:rsidR="00821225" w:rsidRPr="00145B7C" w:rsidTr="00A6351E">
        <w:tc>
          <w:tcPr>
            <w:tcW w:w="4582" w:type="dxa"/>
            <w:hideMark/>
          </w:tcPr>
          <w:p w:rsidR="00821225" w:rsidRPr="00145B7C" w:rsidRDefault="00821225" w:rsidP="00A6351E">
            <w:pPr>
              <w:spacing w:before="100" w:beforeAutospacing="1" w:after="100" w:afterAutospacing="1"/>
              <w:rPr>
                <w:rFonts w:ascii="Times New Roman" w:hAnsi="Times New Roman"/>
                <w:sz w:val="24"/>
              </w:rPr>
            </w:pPr>
            <w:r w:rsidRPr="00145B7C">
              <w:rPr>
                <w:sz w:val="24"/>
              </w:rPr>
              <w:t>No such minor is currently offered.</w:t>
            </w:r>
          </w:p>
        </w:tc>
        <w:tc>
          <w:tcPr>
            <w:tcW w:w="8408" w:type="dxa"/>
            <w:hideMark/>
          </w:tcPr>
          <w:p w:rsidR="00821225" w:rsidRPr="00145B7C" w:rsidRDefault="00821225" w:rsidP="00A6351E">
            <w:pPr>
              <w:spacing w:before="100" w:beforeAutospacing="1" w:after="100" w:afterAutospacing="1"/>
              <w:rPr>
                <w:rFonts w:ascii="Times New Roman" w:hAnsi="Times New Roman"/>
                <w:sz w:val="24"/>
              </w:rPr>
            </w:pPr>
            <w:r w:rsidRPr="00145B7C">
              <w:rPr>
                <w:b/>
                <w:bCs/>
                <w:sz w:val="24"/>
              </w:rPr>
              <w:t>Minor in Arabic Language and Cultures</w:t>
            </w:r>
          </w:p>
          <w:p w:rsidR="00821225" w:rsidRPr="00145B7C" w:rsidRDefault="00821225" w:rsidP="00A6351E">
            <w:pPr>
              <w:spacing w:before="100" w:beforeAutospacing="1" w:after="100" w:afterAutospacing="1"/>
              <w:rPr>
                <w:rFonts w:ascii="Times New Roman" w:hAnsi="Times New Roman"/>
                <w:sz w:val="24"/>
              </w:rPr>
            </w:pPr>
            <w:r w:rsidRPr="00145B7C">
              <w:rPr>
                <w:sz w:val="24"/>
              </w:rPr>
              <w:t>This minor consists of five courses (15 credits). TWO classes with ARB prefix and two electives courses focusing on the Near East to be approved by the advisor.</w:t>
            </w:r>
          </w:p>
        </w:tc>
      </w:tr>
      <w:tr w:rsidR="00821225" w:rsidRPr="00145B7C" w:rsidTr="00A6351E">
        <w:tc>
          <w:tcPr>
            <w:tcW w:w="13020" w:type="dxa"/>
            <w:gridSpan w:val="2"/>
            <w:hideMark/>
          </w:tcPr>
          <w:p w:rsidR="00821225" w:rsidRPr="00145B7C" w:rsidRDefault="00821225" w:rsidP="00A6351E">
            <w:pPr>
              <w:spacing w:before="100" w:beforeAutospacing="1" w:after="100" w:afterAutospacing="1"/>
              <w:ind w:left="720"/>
              <w:rPr>
                <w:rFonts w:ascii="Times New Roman" w:hAnsi="Times New Roman"/>
                <w:sz w:val="24"/>
              </w:rPr>
            </w:pPr>
            <w:r w:rsidRPr="00145B7C">
              <w:rPr>
                <w:b/>
                <w:bCs/>
                <w:sz w:val="24"/>
              </w:rPr>
              <w:t>Rationale: </w:t>
            </w:r>
            <w:r w:rsidRPr="00145B7C">
              <w:rPr>
                <w:sz w:val="24"/>
              </w:rPr>
              <w:t>The required sequence of courses provides an adequate preparation for Establishing a minor in Arabic Language and Cultures at CCNY will offer the students a guided educational experience in the various aspects of Arabic languages and cultures. The presence of a certified program acknowledged on their diploma will motivate the students to continue the language sequence and get an in depth understanding of the many aspects Arabic literary and cultural productions, including but not restricted to Islamic heritage. These classes (15 credits) aim to an interdisciplinary minor in Arabic languages and cultures, which the students could tailor according to the academic interests and career objectives.</w:t>
            </w:r>
          </w:p>
        </w:tc>
      </w:tr>
      <w:tr w:rsidR="00821225" w:rsidRPr="00145B7C" w:rsidTr="00A6351E">
        <w:tc>
          <w:tcPr>
            <w:tcW w:w="13020" w:type="dxa"/>
            <w:gridSpan w:val="2"/>
            <w:hideMark/>
          </w:tcPr>
          <w:p w:rsidR="00821225" w:rsidRPr="00145B7C" w:rsidRDefault="00821225" w:rsidP="00A6351E">
            <w:pPr>
              <w:spacing w:before="100" w:beforeAutospacing="1" w:after="100" w:afterAutospacing="1"/>
              <w:rPr>
                <w:rFonts w:ascii="Times New Roman" w:hAnsi="Times New Roman"/>
                <w:sz w:val="24"/>
              </w:rPr>
            </w:pPr>
            <w:r w:rsidRPr="00145B7C">
              <w:rPr>
                <w:b/>
                <w:bCs/>
                <w:sz w:val="24"/>
              </w:rPr>
              <w:t>Effect Outside Department:</w:t>
            </w:r>
            <w:r w:rsidRPr="00145B7C">
              <w:rPr>
                <w:sz w:val="24"/>
              </w:rPr>
              <w:t> None</w:t>
            </w:r>
          </w:p>
        </w:tc>
      </w:tr>
    </w:tbl>
    <w:p w:rsidR="00821225" w:rsidRDefault="00821225">
      <w:pPr>
        <w:rPr>
          <w:rFonts w:eastAsia="Times New Roman" w:cs="Times New Roman"/>
          <w:sz w:val="24"/>
          <w:szCs w:val="24"/>
        </w:rPr>
      </w:pPr>
      <w:bookmarkStart w:id="0" w:name="_GoBack"/>
      <w:bookmarkEnd w:id="0"/>
      <w:r>
        <w:br w:type="page"/>
      </w:r>
    </w:p>
    <w:p w:rsidR="00821225" w:rsidRPr="00145B7C" w:rsidRDefault="00821225" w:rsidP="00821225">
      <w:pPr>
        <w:pStyle w:val="Body1"/>
        <w:rPr>
          <w:rFonts w:ascii="Times New Roman" w:hAnsi="Times New Roman"/>
        </w:rPr>
      </w:pPr>
      <w:r>
        <w:lastRenderedPageBreak/>
        <w:t>P</w:t>
      </w:r>
      <w:r w:rsidRPr="00145B7C">
        <w:t xml:space="preserve">rogram: </w:t>
      </w:r>
      <w:r>
        <w:tab/>
      </w:r>
      <w:r>
        <w:tab/>
      </w:r>
      <w:r w:rsidRPr="00145B7C">
        <w:t xml:space="preserve">Minor in </w:t>
      </w:r>
      <w:r>
        <w:t>XYZ</w:t>
      </w:r>
    </w:p>
    <w:p w:rsidR="00821225" w:rsidRPr="00145B7C" w:rsidRDefault="00821225" w:rsidP="00821225">
      <w:pPr>
        <w:pStyle w:val="Body1"/>
        <w:rPr>
          <w:rFonts w:ascii="Times New Roman" w:hAnsi="Times New Roman"/>
        </w:rPr>
      </w:pPr>
      <w:r w:rsidRPr="00145B7C">
        <w:t xml:space="preserve">Program Code: </w:t>
      </w:r>
      <w:r>
        <w:tab/>
      </w:r>
    </w:p>
    <w:p w:rsidR="00821225" w:rsidRPr="00145B7C" w:rsidRDefault="00821225" w:rsidP="00821225">
      <w:pPr>
        <w:pStyle w:val="Body1"/>
        <w:rPr>
          <w:rFonts w:ascii="Times New Roman" w:hAnsi="Times New Roman"/>
        </w:rPr>
      </w:pPr>
      <w:r w:rsidRPr="00145B7C">
        <w:t xml:space="preserve">Department: </w:t>
      </w:r>
      <w:r>
        <w:tab/>
      </w:r>
    </w:p>
    <w:p w:rsidR="00821225" w:rsidRDefault="00821225" w:rsidP="00821225">
      <w:pPr>
        <w:pStyle w:val="Body1"/>
        <w:rPr>
          <w:b/>
          <w:bCs/>
          <w:color w:val="000000"/>
          <w:sz w:val="27"/>
          <w:szCs w:val="27"/>
        </w:rPr>
      </w:pPr>
      <w:r>
        <w:t xml:space="preserve">Effective: </w:t>
      </w:r>
      <w:r>
        <w:tab/>
      </w:r>
      <w:r>
        <w:tab/>
        <w:t>Fall 20XX</w:t>
      </w:r>
    </w:p>
    <w:p w:rsidR="00821225" w:rsidRDefault="00821225" w:rsidP="00821225"/>
    <w:tbl>
      <w:tblPr>
        <w:tblStyle w:val="TableGrid"/>
        <w:tblW w:w="0" w:type="auto"/>
        <w:tblLook w:val="04A0" w:firstRow="1" w:lastRow="0" w:firstColumn="1" w:lastColumn="0" w:noHBand="0" w:noVBand="1"/>
      </w:tblPr>
      <w:tblGrid>
        <w:gridCol w:w="4560"/>
        <w:gridCol w:w="8390"/>
      </w:tblGrid>
      <w:tr w:rsidR="00821225" w:rsidRPr="00145B7C" w:rsidTr="00A6351E">
        <w:tc>
          <w:tcPr>
            <w:tcW w:w="4582" w:type="dxa"/>
            <w:hideMark/>
          </w:tcPr>
          <w:p w:rsidR="00821225" w:rsidRPr="00145B7C" w:rsidRDefault="00821225" w:rsidP="00A6351E">
            <w:pPr>
              <w:spacing w:before="100" w:beforeAutospacing="1" w:after="100" w:afterAutospacing="1"/>
              <w:rPr>
                <w:rFonts w:ascii="Times New Roman" w:hAnsi="Times New Roman"/>
                <w:sz w:val="24"/>
              </w:rPr>
            </w:pPr>
            <w:r w:rsidRPr="00145B7C">
              <w:rPr>
                <w:b/>
                <w:bCs/>
                <w:sz w:val="24"/>
              </w:rPr>
              <w:t>From :</w:t>
            </w:r>
          </w:p>
        </w:tc>
        <w:tc>
          <w:tcPr>
            <w:tcW w:w="8408" w:type="dxa"/>
            <w:hideMark/>
          </w:tcPr>
          <w:p w:rsidR="00821225" w:rsidRPr="00145B7C" w:rsidRDefault="00821225" w:rsidP="00A6351E">
            <w:pPr>
              <w:spacing w:before="100" w:beforeAutospacing="1" w:after="100" w:afterAutospacing="1"/>
              <w:rPr>
                <w:rFonts w:ascii="Times New Roman" w:hAnsi="Times New Roman"/>
                <w:sz w:val="24"/>
              </w:rPr>
            </w:pPr>
            <w:r w:rsidRPr="00145B7C">
              <w:rPr>
                <w:b/>
                <w:bCs/>
                <w:sz w:val="24"/>
              </w:rPr>
              <w:t>To :</w:t>
            </w:r>
          </w:p>
        </w:tc>
      </w:tr>
      <w:tr w:rsidR="00821225" w:rsidRPr="00145B7C" w:rsidTr="00A6351E">
        <w:tc>
          <w:tcPr>
            <w:tcW w:w="4582" w:type="dxa"/>
            <w:hideMark/>
          </w:tcPr>
          <w:p w:rsidR="00821225" w:rsidRPr="00145B7C" w:rsidRDefault="00821225" w:rsidP="00A6351E">
            <w:pPr>
              <w:spacing w:before="100" w:beforeAutospacing="1" w:after="100" w:afterAutospacing="1"/>
              <w:rPr>
                <w:rFonts w:ascii="Times New Roman" w:hAnsi="Times New Roman"/>
                <w:sz w:val="24"/>
              </w:rPr>
            </w:pPr>
            <w:r w:rsidRPr="00145B7C">
              <w:rPr>
                <w:sz w:val="24"/>
              </w:rPr>
              <w:t>No such minor is currently offered.</w:t>
            </w:r>
          </w:p>
        </w:tc>
        <w:tc>
          <w:tcPr>
            <w:tcW w:w="8408" w:type="dxa"/>
            <w:hideMark/>
          </w:tcPr>
          <w:p w:rsidR="00821225" w:rsidRPr="00145B7C" w:rsidRDefault="00821225" w:rsidP="00A6351E">
            <w:pPr>
              <w:spacing w:before="100" w:beforeAutospacing="1" w:after="100" w:afterAutospacing="1"/>
              <w:rPr>
                <w:rFonts w:ascii="Times New Roman" w:hAnsi="Times New Roman"/>
                <w:sz w:val="24"/>
              </w:rPr>
            </w:pPr>
            <w:r w:rsidRPr="00145B7C">
              <w:rPr>
                <w:b/>
                <w:bCs/>
                <w:sz w:val="24"/>
              </w:rPr>
              <w:t xml:space="preserve">Minor </w:t>
            </w:r>
            <w:r>
              <w:rPr>
                <w:b/>
                <w:bCs/>
                <w:sz w:val="24"/>
              </w:rPr>
              <w:t>in XYZ</w:t>
            </w:r>
          </w:p>
          <w:p w:rsidR="00821225" w:rsidRPr="00145B7C" w:rsidRDefault="00821225" w:rsidP="00A6351E">
            <w:pPr>
              <w:spacing w:before="100" w:beforeAutospacing="1" w:after="100" w:afterAutospacing="1"/>
              <w:rPr>
                <w:rFonts w:ascii="Times New Roman" w:hAnsi="Times New Roman"/>
                <w:sz w:val="24"/>
              </w:rPr>
            </w:pPr>
          </w:p>
        </w:tc>
      </w:tr>
      <w:tr w:rsidR="00821225" w:rsidRPr="00145B7C" w:rsidTr="00A6351E">
        <w:tc>
          <w:tcPr>
            <w:tcW w:w="13020" w:type="dxa"/>
            <w:gridSpan w:val="2"/>
            <w:hideMark/>
          </w:tcPr>
          <w:p w:rsidR="00821225" w:rsidRPr="00145B7C" w:rsidRDefault="00821225" w:rsidP="00821225">
            <w:pPr>
              <w:spacing w:before="100" w:beforeAutospacing="1" w:after="100" w:afterAutospacing="1"/>
              <w:rPr>
                <w:rFonts w:ascii="Times New Roman" w:hAnsi="Times New Roman"/>
                <w:sz w:val="24"/>
              </w:rPr>
            </w:pPr>
            <w:r w:rsidRPr="00145B7C">
              <w:rPr>
                <w:b/>
                <w:bCs/>
                <w:sz w:val="24"/>
              </w:rPr>
              <w:t>Rationale: </w:t>
            </w:r>
          </w:p>
        </w:tc>
      </w:tr>
      <w:tr w:rsidR="00821225" w:rsidRPr="00145B7C" w:rsidTr="00A6351E">
        <w:tc>
          <w:tcPr>
            <w:tcW w:w="13020" w:type="dxa"/>
            <w:gridSpan w:val="2"/>
            <w:hideMark/>
          </w:tcPr>
          <w:p w:rsidR="00821225" w:rsidRPr="00145B7C" w:rsidRDefault="00821225" w:rsidP="00A6351E">
            <w:pPr>
              <w:spacing w:before="100" w:beforeAutospacing="1" w:after="100" w:afterAutospacing="1"/>
              <w:rPr>
                <w:rFonts w:ascii="Times New Roman" w:hAnsi="Times New Roman"/>
                <w:sz w:val="24"/>
              </w:rPr>
            </w:pPr>
            <w:r w:rsidRPr="00145B7C">
              <w:rPr>
                <w:b/>
                <w:bCs/>
                <w:sz w:val="24"/>
              </w:rPr>
              <w:t>Effect Outside Department:</w:t>
            </w:r>
            <w:r w:rsidRPr="00145B7C">
              <w:rPr>
                <w:sz w:val="24"/>
              </w:rPr>
              <w:t> </w:t>
            </w:r>
            <w:r>
              <w:rPr>
                <w:sz w:val="24"/>
              </w:rPr>
              <w:t>???</w:t>
            </w:r>
          </w:p>
        </w:tc>
      </w:tr>
      <w:tr w:rsidR="00821225" w:rsidRPr="00145B7C" w:rsidTr="00A6351E">
        <w:tc>
          <w:tcPr>
            <w:tcW w:w="13020" w:type="dxa"/>
            <w:gridSpan w:val="2"/>
          </w:tcPr>
          <w:p w:rsidR="00821225" w:rsidRPr="00145B7C" w:rsidRDefault="00821225" w:rsidP="00A6351E">
            <w:pPr>
              <w:spacing w:before="100" w:beforeAutospacing="1" w:after="100" w:afterAutospacing="1"/>
              <w:rPr>
                <w:b/>
                <w:bCs/>
                <w:sz w:val="24"/>
              </w:rPr>
            </w:pPr>
            <w:r>
              <w:rPr>
                <w:b/>
                <w:bCs/>
                <w:sz w:val="24"/>
              </w:rPr>
              <w:t>Date of Department Approval:</w:t>
            </w:r>
          </w:p>
        </w:tc>
      </w:tr>
      <w:tr w:rsidR="00821225" w:rsidRPr="00145B7C" w:rsidTr="00A6351E">
        <w:tc>
          <w:tcPr>
            <w:tcW w:w="13020" w:type="dxa"/>
            <w:gridSpan w:val="2"/>
          </w:tcPr>
          <w:p w:rsidR="00821225" w:rsidRDefault="00821225" w:rsidP="00A6351E">
            <w:pPr>
              <w:spacing w:before="100" w:beforeAutospacing="1" w:after="100" w:afterAutospacing="1"/>
              <w:rPr>
                <w:b/>
                <w:bCs/>
                <w:sz w:val="24"/>
              </w:rPr>
            </w:pPr>
            <w:r>
              <w:rPr>
                <w:b/>
                <w:bCs/>
                <w:sz w:val="24"/>
              </w:rPr>
              <w:t xml:space="preserve">Date of Senate Approval: </w:t>
            </w:r>
          </w:p>
        </w:tc>
      </w:tr>
    </w:tbl>
    <w:p w:rsidR="00821225" w:rsidRDefault="00821225" w:rsidP="00821225"/>
    <w:p w:rsidR="00821225" w:rsidRDefault="00821225"/>
    <w:sectPr w:rsidR="00821225" w:rsidSect="00B44FA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Perpetua Titling MT">
    <w:altName w:val="Perpetua Titling MT"/>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FA8"/>
    <w:rsid w:val="0036791A"/>
    <w:rsid w:val="0038151A"/>
    <w:rsid w:val="0042533F"/>
    <w:rsid w:val="00493301"/>
    <w:rsid w:val="005E6A54"/>
    <w:rsid w:val="00821225"/>
    <w:rsid w:val="00843474"/>
    <w:rsid w:val="009C52F5"/>
    <w:rsid w:val="00B44FA8"/>
    <w:rsid w:val="00BF4FD6"/>
    <w:rsid w:val="00D1535A"/>
    <w:rsid w:val="00F26B43"/>
    <w:rsid w:val="00F672BF"/>
    <w:rsid w:val="00FF7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2E835"/>
  <w15:docId w15:val="{F072668D-021B-4288-B0F4-BBFD404CF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FA8"/>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Normal"/>
    <w:qFormat/>
    <w:rsid w:val="0038151A"/>
    <w:pPr>
      <w:spacing w:after="0" w:line="240" w:lineRule="auto"/>
    </w:pPr>
    <w:rPr>
      <w:rFonts w:eastAsia="Times New Roman" w:cs="Times New Roman"/>
      <w:sz w:val="24"/>
      <w:szCs w:val="24"/>
    </w:rPr>
  </w:style>
  <w:style w:type="table" w:styleId="TableGrid">
    <w:name w:val="Table Grid"/>
    <w:basedOn w:val="TableNormal"/>
    <w:uiPriority w:val="59"/>
    <w:rsid w:val="00B44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3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301"/>
    <w:rPr>
      <w:rFonts w:ascii="Segoe UI" w:eastAsiaTheme="minorHAnsi" w:hAnsi="Segoe UI" w:cs="Segoe UI"/>
      <w:sz w:val="18"/>
      <w:szCs w:val="18"/>
    </w:rPr>
  </w:style>
  <w:style w:type="table" w:styleId="TableGridLight">
    <w:name w:val="Grid Table Light"/>
    <w:basedOn w:val="TableNormal"/>
    <w:uiPriority w:val="40"/>
    <w:rsid w:val="008434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821225"/>
    <w:pPr>
      <w:autoSpaceDE w:val="0"/>
      <w:autoSpaceDN w:val="0"/>
      <w:adjustRightInd w:val="0"/>
      <w:spacing w:after="0" w:line="240" w:lineRule="auto"/>
    </w:pPr>
    <w:rPr>
      <w:rFonts w:ascii="Perpetua Titling MT" w:hAnsi="Perpetua Titling MT" w:cs="Perpetua Titling MT"/>
      <w:color w:val="000000"/>
      <w:sz w:val="24"/>
    </w:rPr>
  </w:style>
  <w:style w:type="table" w:styleId="PlainTable2">
    <w:name w:val="Plain Table 2"/>
    <w:basedOn w:val="TableNormal"/>
    <w:uiPriority w:val="42"/>
    <w:rsid w:val="0082122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Lopez</dc:creator>
  <cp:lastModifiedBy>Eric Lopez</cp:lastModifiedBy>
  <cp:revision>2</cp:revision>
  <cp:lastPrinted>2018-04-04T15:03:00Z</cp:lastPrinted>
  <dcterms:created xsi:type="dcterms:W3CDTF">2018-04-04T16:56:00Z</dcterms:created>
  <dcterms:modified xsi:type="dcterms:W3CDTF">2018-04-04T16:56:00Z</dcterms:modified>
</cp:coreProperties>
</file>