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8E" w:rsidRPr="00BB6F8E" w:rsidRDefault="00BB6F8E" w:rsidP="00BB6F8E">
      <w:pPr>
        <w:widowControl w:val="0"/>
        <w:spacing w:after="0" w:line="240" w:lineRule="auto"/>
        <w:ind w:left="110" w:right="54"/>
        <w:rPr>
          <w:rFonts w:ascii="Calibri" w:eastAsia="Calibri" w:hAnsi="Calibri" w:cs="Times New Roman"/>
          <w:sz w:val="23"/>
          <w:szCs w:val="23"/>
        </w:rPr>
      </w:pPr>
      <w:bookmarkStart w:id="0" w:name="_GoBack"/>
      <w:bookmarkEnd w:id="0"/>
      <w:r>
        <w:rPr>
          <w:rFonts w:ascii="Calibri" w:eastAsia="Calibri" w:hAnsi="Calibri" w:cs="Times New Roman"/>
          <w:noProof/>
          <w:sz w:val="23"/>
          <w:szCs w:val="23"/>
        </w:rPr>
        <w:drawing>
          <wp:inline distT="0" distB="0" distL="0" distR="0" wp14:anchorId="086F6CAF">
            <wp:extent cx="2072640" cy="829310"/>
            <wp:effectExtent l="0" t="0" r="381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66B2" w:rsidRDefault="001F66B2" w:rsidP="00BB6F8E">
      <w:pPr>
        <w:widowControl w:val="0"/>
        <w:spacing w:after="0" w:line="240" w:lineRule="auto"/>
        <w:ind w:right="54"/>
        <w:jc w:val="center"/>
        <w:rPr>
          <w:rFonts w:ascii="Calibri" w:eastAsia="Garamond" w:hAnsi="Calibri" w:cs="Garamond"/>
          <w:b/>
          <w:bCs/>
          <w:szCs w:val="23"/>
        </w:rPr>
      </w:pPr>
    </w:p>
    <w:p w:rsidR="00BB6F8E" w:rsidRPr="00BB6F8E" w:rsidRDefault="00BB6F8E" w:rsidP="00BB6F8E">
      <w:pPr>
        <w:widowControl w:val="0"/>
        <w:spacing w:after="0" w:line="240" w:lineRule="auto"/>
        <w:ind w:right="54"/>
        <w:jc w:val="center"/>
        <w:rPr>
          <w:rFonts w:ascii="Calibri" w:eastAsia="Garamond" w:hAnsi="Calibri" w:cs="Garamond"/>
          <w:szCs w:val="23"/>
        </w:rPr>
      </w:pPr>
      <w:r w:rsidRPr="00BB6F8E">
        <w:rPr>
          <w:rFonts w:ascii="Calibri" w:eastAsia="Garamond" w:hAnsi="Calibri" w:cs="Garamond"/>
          <w:b/>
          <w:bCs/>
          <w:szCs w:val="23"/>
        </w:rPr>
        <w:t>Memo</w:t>
      </w:r>
    </w:p>
    <w:p w:rsidR="00BB6F8E" w:rsidRPr="00BB6F8E" w:rsidRDefault="00BB6F8E" w:rsidP="00BB6F8E">
      <w:pPr>
        <w:widowControl w:val="0"/>
        <w:spacing w:after="0" w:line="240" w:lineRule="auto"/>
        <w:ind w:right="54"/>
        <w:rPr>
          <w:rFonts w:ascii="Calibri" w:eastAsia="Calibri" w:hAnsi="Calibri" w:cs="Times New Roman"/>
          <w:szCs w:val="23"/>
        </w:rPr>
      </w:pPr>
    </w:p>
    <w:p w:rsidR="00BB6F8E" w:rsidRPr="00BB6F8E" w:rsidRDefault="00BB6F8E" w:rsidP="00BB6F8E">
      <w:pPr>
        <w:widowControl w:val="0"/>
        <w:tabs>
          <w:tab w:val="left" w:pos="1800"/>
        </w:tabs>
        <w:spacing w:after="0" w:line="240" w:lineRule="auto"/>
        <w:ind w:left="475" w:right="54"/>
        <w:rPr>
          <w:rFonts w:ascii="Calibri" w:eastAsia="Garamond" w:hAnsi="Calibri" w:cs="Times New Roman"/>
          <w:szCs w:val="23"/>
        </w:rPr>
      </w:pPr>
      <w:r w:rsidRPr="00BB6F8E">
        <w:rPr>
          <w:rFonts w:ascii="Calibri" w:eastAsia="Garamond" w:hAnsi="Calibri" w:cs="Times New Roman"/>
          <w:spacing w:val="-2"/>
          <w:szCs w:val="23"/>
        </w:rPr>
        <w:t>T</w:t>
      </w:r>
      <w:r w:rsidRPr="00BB6F8E">
        <w:rPr>
          <w:rFonts w:ascii="Calibri" w:eastAsia="Garamond" w:hAnsi="Calibri" w:cs="Times New Roman"/>
          <w:szCs w:val="23"/>
        </w:rPr>
        <w:t>o:</w:t>
      </w:r>
      <w:r w:rsidRPr="00BB6F8E">
        <w:rPr>
          <w:rFonts w:ascii="Calibri" w:eastAsia="Garamond" w:hAnsi="Calibri" w:cs="Times New Roman"/>
          <w:szCs w:val="23"/>
        </w:rPr>
        <w:tab/>
      </w:r>
      <w:r w:rsidR="0070573D">
        <w:rPr>
          <w:rFonts w:ascii="Calibri" w:eastAsia="Garamond" w:hAnsi="Calibri" w:cs="Times New Roman"/>
          <w:szCs w:val="23"/>
        </w:rPr>
        <w:t>NTL Requestors</w:t>
      </w:r>
      <w:r w:rsidR="00B624D8">
        <w:rPr>
          <w:rFonts w:ascii="Calibri" w:eastAsia="Garamond" w:hAnsi="Calibri" w:cs="Times New Roman"/>
          <w:szCs w:val="23"/>
        </w:rPr>
        <w:t xml:space="preserve">, Creators, and Finance </w:t>
      </w:r>
      <w:r w:rsidR="0070573D">
        <w:rPr>
          <w:rFonts w:ascii="Calibri" w:eastAsia="Garamond" w:hAnsi="Calibri" w:cs="Times New Roman"/>
          <w:szCs w:val="23"/>
        </w:rPr>
        <w:t>Liaisons</w:t>
      </w:r>
      <w:r w:rsidRPr="00BB6F8E">
        <w:rPr>
          <w:rFonts w:ascii="Calibri" w:eastAsia="Garamond" w:hAnsi="Calibri" w:cs="Times New Roman"/>
          <w:szCs w:val="23"/>
        </w:rPr>
        <w:t xml:space="preserve"> </w:t>
      </w:r>
    </w:p>
    <w:p w:rsidR="00BB6F8E" w:rsidRPr="00BB6F8E" w:rsidRDefault="00BB6F8E" w:rsidP="00BB6F8E">
      <w:pPr>
        <w:widowControl w:val="0"/>
        <w:tabs>
          <w:tab w:val="left" w:pos="1800"/>
        </w:tabs>
        <w:spacing w:after="0" w:line="240" w:lineRule="auto"/>
        <w:ind w:left="475" w:right="54"/>
        <w:rPr>
          <w:rFonts w:ascii="Calibri" w:eastAsia="Garamond" w:hAnsi="Calibri" w:cs="Times New Roman"/>
          <w:w w:val="99"/>
          <w:szCs w:val="23"/>
        </w:rPr>
      </w:pPr>
      <w:r w:rsidRPr="00BB6F8E">
        <w:rPr>
          <w:rFonts w:ascii="Calibri" w:eastAsia="Garamond" w:hAnsi="Calibri" w:cs="Times New Roman"/>
          <w:spacing w:val="-1"/>
          <w:szCs w:val="23"/>
        </w:rPr>
        <w:t>F</w:t>
      </w:r>
      <w:r w:rsidRPr="00BB6F8E">
        <w:rPr>
          <w:rFonts w:ascii="Calibri" w:eastAsia="Garamond" w:hAnsi="Calibri" w:cs="Times New Roman"/>
          <w:szCs w:val="23"/>
        </w:rPr>
        <w:t>ro</w:t>
      </w:r>
      <w:r w:rsidRPr="00BB6F8E">
        <w:rPr>
          <w:rFonts w:ascii="Calibri" w:eastAsia="Garamond" w:hAnsi="Calibri" w:cs="Times New Roman"/>
          <w:spacing w:val="-2"/>
          <w:szCs w:val="23"/>
        </w:rPr>
        <w:t>m</w:t>
      </w:r>
      <w:r w:rsidRPr="00BB6F8E">
        <w:rPr>
          <w:rFonts w:ascii="Calibri" w:eastAsia="Garamond" w:hAnsi="Calibri" w:cs="Times New Roman"/>
          <w:szCs w:val="23"/>
        </w:rPr>
        <w:t>:</w:t>
      </w:r>
      <w:r w:rsidRPr="00BB6F8E">
        <w:rPr>
          <w:rFonts w:ascii="Calibri" w:eastAsia="Garamond" w:hAnsi="Calibri" w:cs="Times New Roman"/>
          <w:szCs w:val="23"/>
        </w:rPr>
        <w:tab/>
      </w:r>
      <w:r>
        <w:rPr>
          <w:rFonts w:ascii="Calibri" w:eastAsia="Garamond" w:hAnsi="Calibri" w:cs="Times New Roman"/>
          <w:szCs w:val="23"/>
        </w:rPr>
        <w:t>Felix Lam, Vice President and Chief Financial Officer</w:t>
      </w:r>
      <w:r w:rsidRPr="00BB6F8E">
        <w:rPr>
          <w:rFonts w:ascii="Calibri" w:eastAsia="Garamond" w:hAnsi="Calibri" w:cs="Times New Roman"/>
          <w:w w:val="99"/>
          <w:szCs w:val="23"/>
        </w:rPr>
        <w:t xml:space="preserve"> </w:t>
      </w:r>
    </w:p>
    <w:p w:rsidR="00BB6F8E" w:rsidRPr="00BB6F8E" w:rsidRDefault="00BB6F8E" w:rsidP="00BB6F8E">
      <w:pPr>
        <w:widowControl w:val="0"/>
        <w:spacing w:after="0" w:line="240" w:lineRule="auto"/>
        <w:ind w:left="1800" w:right="54" w:hanging="1325"/>
        <w:jc w:val="both"/>
        <w:rPr>
          <w:rFonts w:ascii="Calibri" w:eastAsia="Garamond" w:hAnsi="Calibri" w:cs="Times New Roman"/>
          <w:spacing w:val="4"/>
          <w:szCs w:val="23"/>
        </w:rPr>
      </w:pPr>
      <w:r w:rsidRPr="00BB6F8E">
        <w:rPr>
          <w:rFonts w:ascii="Calibri" w:eastAsia="Garamond" w:hAnsi="Calibri" w:cs="Times New Roman"/>
          <w:szCs w:val="23"/>
        </w:rPr>
        <w:t>Date:</w:t>
      </w:r>
      <w:r w:rsidRPr="00BB6F8E">
        <w:rPr>
          <w:rFonts w:ascii="Calibri" w:eastAsia="Garamond" w:hAnsi="Calibri" w:cs="Times New Roman"/>
          <w:szCs w:val="23"/>
        </w:rPr>
        <w:tab/>
      </w:r>
      <w:r w:rsidR="0070573D">
        <w:rPr>
          <w:rFonts w:ascii="Calibri" w:eastAsia="Garamond" w:hAnsi="Calibri" w:cs="Times New Roman"/>
          <w:spacing w:val="4"/>
          <w:szCs w:val="23"/>
        </w:rPr>
        <w:t xml:space="preserve">July </w:t>
      </w:r>
      <w:r w:rsidR="008E4BF8">
        <w:rPr>
          <w:rFonts w:ascii="Calibri" w:eastAsia="Garamond" w:hAnsi="Calibri" w:cs="Times New Roman"/>
          <w:spacing w:val="4"/>
          <w:szCs w:val="23"/>
        </w:rPr>
        <w:t>29,</w:t>
      </w:r>
      <w:r w:rsidR="0070573D">
        <w:rPr>
          <w:rFonts w:ascii="Calibri" w:eastAsia="Garamond" w:hAnsi="Calibri" w:cs="Times New Roman"/>
          <w:spacing w:val="4"/>
          <w:szCs w:val="23"/>
        </w:rPr>
        <w:t xml:space="preserve"> 2019</w:t>
      </w:r>
    </w:p>
    <w:p w:rsidR="00BB6F8E" w:rsidRDefault="00BB6F8E" w:rsidP="00BB6F8E">
      <w:pPr>
        <w:widowControl w:val="0"/>
        <w:tabs>
          <w:tab w:val="left" w:pos="1800"/>
        </w:tabs>
        <w:spacing w:after="0" w:line="240" w:lineRule="auto"/>
        <w:ind w:left="475" w:right="54"/>
        <w:rPr>
          <w:rFonts w:ascii="Calibri" w:eastAsia="Garamond" w:hAnsi="Calibri" w:cs="Times New Roman"/>
          <w:spacing w:val="-1"/>
          <w:szCs w:val="23"/>
        </w:rPr>
      </w:pPr>
      <w:r w:rsidRPr="00BB6F8E">
        <w:rPr>
          <w:rFonts w:ascii="Calibri" w:eastAsia="Garamond" w:hAnsi="Calibri" w:cs="Times New Roman"/>
          <w:szCs w:val="23"/>
        </w:rPr>
        <w:t>Re:</w:t>
      </w:r>
      <w:r w:rsidRPr="00BB6F8E">
        <w:rPr>
          <w:rFonts w:ascii="Calibri" w:eastAsia="Garamond" w:hAnsi="Calibri" w:cs="Times New Roman"/>
          <w:szCs w:val="23"/>
        </w:rPr>
        <w:tab/>
      </w:r>
      <w:r>
        <w:rPr>
          <w:rFonts w:ascii="Calibri" w:eastAsia="Garamond" w:hAnsi="Calibri" w:cs="Times New Roman"/>
          <w:spacing w:val="-1"/>
          <w:szCs w:val="23"/>
        </w:rPr>
        <w:t>Non-Tax Levy (NTL) Implementation into CUNYfirst</w:t>
      </w:r>
    </w:p>
    <w:p w:rsidR="00BB6F8E" w:rsidRPr="00BB6F8E" w:rsidRDefault="00BB6F8E" w:rsidP="00BB6F8E">
      <w:pPr>
        <w:widowControl w:val="0"/>
        <w:tabs>
          <w:tab w:val="left" w:pos="1800"/>
        </w:tabs>
        <w:spacing w:after="0" w:line="240" w:lineRule="auto"/>
        <w:ind w:right="54"/>
        <w:rPr>
          <w:rFonts w:ascii="Calibri" w:eastAsia="Garamond" w:hAnsi="Calibri" w:cs="Times New Roman"/>
          <w:szCs w:val="23"/>
        </w:rPr>
      </w:pPr>
      <w:r>
        <w:rPr>
          <w:rFonts w:ascii="Calibri" w:eastAsia="Garamond" w:hAnsi="Calibri" w:cs="Times New Roman"/>
          <w:szCs w:val="23"/>
        </w:rPr>
        <w:t>---</w:t>
      </w:r>
      <w:r w:rsidRPr="00BB6F8E">
        <w:rPr>
          <w:rFonts w:ascii="Calibri" w:eastAsia="Calibri" w:hAnsi="Calibri" w:cs="Times New Roman"/>
          <w:spacing w:val="4"/>
          <w:szCs w:val="23"/>
        </w:rPr>
        <w:t>---------------------------------------------------------------------------------------------------------------------------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spacing w:val="4"/>
          <w:szCs w:val="23"/>
        </w:rPr>
        <w:t>------</w:t>
      </w:r>
      <w:r w:rsidRPr="00BB6F8E">
        <w:rPr>
          <w:rFonts w:ascii="Calibri" w:eastAsia="Calibri" w:hAnsi="Calibri" w:cs="Times New Roman"/>
          <w:spacing w:val="4"/>
          <w:szCs w:val="23"/>
        </w:rPr>
        <w:t>--</w:t>
      </w:r>
      <w:r>
        <w:rPr>
          <w:rFonts w:ascii="Calibri" w:eastAsia="Calibri" w:hAnsi="Calibri" w:cs="Times New Roman"/>
          <w:spacing w:val="4"/>
          <w:szCs w:val="23"/>
        </w:rPr>
        <w:t>------</w:t>
      </w:r>
    </w:p>
    <w:p w:rsidR="00FC3F4C" w:rsidRDefault="00FC3F4C" w:rsidP="00950AAA">
      <w:pPr>
        <w:spacing w:after="0" w:line="240" w:lineRule="auto"/>
      </w:pPr>
    </w:p>
    <w:p w:rsidR="001C5012" w:rsidRDefault="00AE6002" w:rsidP="00950AAA">
      <w:pPr>
        <w:spacing w:after="0" w:line="240" w:lineRule="auto"/>
      </w:pPr>
      <w:r>
        <w:t>Effective July 1, 2019</w:t>
      </w:r>
      <w:r w:rsidR="00C873E6">
        <w:t>,</w:t>
      </w:r>
      <w:r>
        <w:t xml:space="preserve"> </w:t>
      </w:r>
      <w:r w:rsidR="00C873E6">
        <w:t>the City College of New York</w:t>
      </w:r>
      <w:r w:rsidR="0093293B">
        <w:t xml:space="preserve"> (CCNY)</w:t>
      </w:r>
      <w:r w:rsidR="00C873E6">
        <w:t xml:space="preserve">, along with its fellow CUNY campuses, will be embarking on key process changes to non-tax levy financial operations. </w:t>
      </w:r>
      <w:r w:rsidR="008C07B9">
        <w:t>Namely,</w:t>
      </w:r>
      <w:r w:rsidR="001A5FC4">
        <w:t xml:space="preserve"> </w:t>
      </w:r>
      <w:r w:rsidR="00C873E6">
        <w:t xml:space="preserve">CUNYfirst will become the official system of record for non-tax levy (NTL) financial transactions. </w:t>
      </w:r>
      <w:r w:rsidR="0070573D">
        <w:t xml:space="preserve">Acquisitions and </w:t>
      </w:r>
      <w:r w:rsidR="00BB6F8E">
        <w:t>reimbursem</w:t>
      </w:r>
      <w:r w:rsidR="0070573D">
        <w:t xml:space="preserve">ents </w:t>
      </w:r>
      <w:r w:rsidR="00BB6F8E">
        <w:t xml:space="preserve">from </w:t>
      </w:r>
      <w:r w:rsidR="00C873E6">
        <w:t>the College’s Bursar Special and Trust</w:t>
      </w:r>
      <w:r w:rsidR="001A5FC4">
        <w:t>s</w:t>
      </w:r>
      <w:r w:rsidR="00C873E6">
        <w:t xml:space="preserve"> </w:t>
      </w:r>
      <w:r w:rsidR="0093293B">
        <w:t>and Gifts units</w:t>
      </w:r>
      <w:r w:rsidR="00C873E6">
        <w:t xml:space="preserve"> will be entered into CUNYfirst Financials</w:t>
      </w:r>
      <w:r w:rsidR="00687BAC">
        <w:t xml:space="preserve"> </w:t>
      </w:r>
      <w:r w:rsidR="0093293B">
        <w:t xml:space="preserve">as part of a “first </w:t>
      </w:r>
      <w:r w:rsidR="00204ACC">
        <w:t>phase</w:t>
      </w:r>
      <w:r w:rsidR="0093293B">
        <w:t xml:space="preserve">” of implementation. </w:t>
      </w:r>
      <w:r w:rsidR="00687BAC">
        <w:t>I</w:t>
      </w:r>
      <w:r w:rsidR="0093293B">
        <w:t xml:space="preserve">n subsequent years, it </w:t>
      </w:r>
      <w:r w:rsidR="00687BAC">
        <w:t xml:space="preserve">is anticipated that other non-tax levy related entities such as the College’s Student Services Corporation and Auxiliary </w:t>
      </w:r>
      <w:r w:rsidR="007D1934">
        <w:t xml:space="preserve">Enterprise </w:t>
      </w:r>
      <w:r w:rsidR="00687BAC">
        <w:t>Corporation will be required to interface with CUNYfirst.</w:t>
      </w:r>
      <w:r w:rsidR="0093293B">
        <w:t xml:space="preserve"> </w:t>
      </w:r>
    </w:p>
    <w:p w:rsidR="001C5012" w:rsidRDefault="001C5012" w:rsidP="00950AAA">
      <w:pPr>
        <w:spacing w:after="0" w:line="240" w:lineRule="auto"/>
      </w:pPr>
    </w:p>
    <w:p w:rsidR="001A5FC4" w:rsidRPr="001A5FC4" w:rsidRDefault="0023139C" w:rsidP="001A5FC4">
      <w:pPr>
        <w:spacing w:after="0" w:line="240" w:lineRule="auto"/>
      </w:pPr>
      <w:r>
        <w:t xml:space="preserve">In preparation of this launch, the </w:t>
      </w:r>
      <w:r w:rsidR="0093293B">
        <w:t xml:space="preserve">CCNY </w:t>
      </w:r>
      <w:r w:rsidR="00AE6002">
        <w:t>Business Office ha</w:t>
      </w:r>
      <w:r w:rsidR="006E3609">
        <w:t xml:space="preserve">s </w:t>
      </w:r>
      <w:r w:rsidR="00AE6002">
        <w:t xml:space="preserve">been working </w:t>
      </w:r>
      <w:r w:rsidR="0093293B">
        <w:t xml:space="preserve">closely </w:t>
      </w:r>
      <w:r w:rsidR="00C873E6">
        <w:t xml:space="preserve">with </w:t>
      </w:r>
      <w:r w:rsidR="006E3609">
        <w:t xml:space="preserve">CUNY </w:t>
      </w:r>
      <w:r w:rsidR="00AE6002">
        <w:t xml:space="preserve">Central </w:t>
      </w:r>
      <w:r w:rsidR="001A5FC4">
        <w:t xml:space="preserve">Administration </w:t>
      </w:r>
      <w:r w:rsidR="00687BAC">
        <w:t>to ensure a smooth and effective transition with th</w:t>
      </w:r>
      <w:r>
        <w:t xml:space="preserve">e key </w:t>
      </w:r>
      <w:r w:rsidR="0093293B">
        <w:t xml:space="preserve">goal </w:t>
      </w:r>
      <w:r>
        <w:t xml:space="preserve">of minimizing disruptions to the College’s operations, including departments’ internal </w:t>
      </w:r>
      <w:r w:rsidR="006E3609">
        <w:t>proce</w:t>
      </w:r>
      <w:r w:rsidR="0093293B">
        <w:t>sses.</w:t>
      </w:r>
      <w:r w:rsidR="007D1934">
        <w:t xml:space="preserve"> </w:t>
      </w:r>
      <w:r w:rsidR="001A5FC4" w:rsidRPr="001A5FC4">
        <w:t>The purpose of this memo is to discuss the financial activities that will be entered into CUNYfirst and</w:t>
      </w:r>
      <w:r w:rsidR="0070573D">
        <w:t xml:space="preserve"> next steps that may impact your workflow and responsibilities</w:t>
      </w:r>
      <w:r w:rsidR="001A5FC4" w:rsidRPr="001A5FC4">
        <w:t>.</w:t>
      </w:r>
    </w:p>
    <w:p w:rsidR="001A5FC4" w:rsidRDefault="001A5FC4" w:rsidP="00950AAA">
      <w:pPr>
        <w:spacing w:after="0" w:line="240" w:lineRule="auto"/>
      </w:pPr>
    </w:p>
    <w:p w:rsidR="0014156B" w:rsidRPr="008F62D5" w:rsidRDefault="0014156B" w:rsidP="00950AAA">
      <w:pPr>
        <w:spacing w:after="0" w:line="240" w:lineRule="auto"/>
        <w:rPr>
          <w:b/>
        </w:rPr>
      </w:pPr>
      <w:r w:rsidRPr="008F62D5">
        <w:rPr>
          <w:b/>
        </w:rPr>
        <w:t xml:space="preserve">Procure-to-Pay System </w:t>
      </w:r>
    </w:p>
    <w:p w:rsidR="00CA65AD" w:rsidRDefault="0093293B" w:rsidP="00950AAA">
      <w:pPr>
        <w:spacing w:after="0" w:line="240" w:lineRule="auto"/>
      </w:pPr>
      <w:r>
        <w:t>One of the key changes to the College’s NTL operations is the process by how goods and services will be acquired. G</w:t>
      </w:r>
      <w:r w:rsidRPr="0093293B">
        <w:t xml:space="preserve">oods and services </w:t>
      </w:r>
      <w:r>
        <w:t xml:space="preserve">funded by </w:t>
      </w:r>
      <w:r w:rsidRPr="0093293B">
        <w:t>Bursar Special and Trust</w:t>
      </w:r>
      <w:r w:rsidR="001A5FC4">
        <w:t>s</w:t>
      </w:r>
      <w:r w:rsidRPr="0093293B">
        <w:t xml:space="preserve"> and Gifts already follow th</w:t>
      </w:r>
      <w:r>
        <w:t xml:space="preserve">e procurement and accounts payable guidelines established by the University and have been sourced by the College’s </w:t>
      </w:r>
      <w:r w:rsidR="001A5FC4">
        <w:t>P</w:t>
      </w:r>
      <w:r>
        <w:t xml:space="preserve">urchasing </w:t>
      </w:r>
      <w:r w:rsidR="001A5FC4">
        <w:t>unit</w:t>
      </w:r>
      <w:r>
        <w:t xml:space="preserve">. </w:t>
      </w:r>
    </w:p>
    <w:p w:rsidR="00CA65AD" w:rsidRDefault="00CA65AD" w:rsidP="00950AAA">
      <w:pPr>
        <w:spacing w:after="0" w:line="240" w:lineRule="auto"/>
      </w:pPr>
    </w:p>
    <w:p w:rsidR="0093293B" w:rsidRDefault="0014156B" w:rsidP="00950AAA">
      <w:pPr>
        <w:spacing w:after="0" w:line="240" w:lineRule="auto"/>
      </w:pPr>
      <w:r>
        <w:t>B</w:t>
      </w:r>
      <w:r w:rsidR="0093293B">
        <w:t>eginning July 1, NTL transactions greater than $1,000</w:t>
      </w:r>
      <w:r w:rsidR="001A5FC4">
        <w:t>.00</w:t>
      </w:r>
      <w:r w:rsidR="0093293B">
        <w:t xml:space="preserve"> will now </w:t>
      </w:r>
      <w:r>
        <w:t xml:space="preserve">be incorporated with </w:t>
      </w:r>
      <w:r w:rsidR="00AE6002">
        <w:t>the procure-to-pay process in CUNYfirst</w:t>
      </w:r>
      <w:r w:rsidR="0093293B">
        <w:t xml:space="preserve">. </w:t>
      </w:r>
      <w:r w:rsidR="00204ACC">
        <w:t>At this time, p</w:t>
      </w:r>
      <w:r w:rsidR="0093293B" w:rsidRPr="0093293B">
        <w:t>urchases less than $1,000</w:t>
      </w:r>
      <w:r w:rsidR="001A5FC4">
        <w:t>.00</w:t>
      </w:r>
      <w:r w:rsidR="0093293B" w:rsidRPr="0093293B">
        <w:t xml:space="preserve"> will follow the </w:t>
      </w:r>
      <w:r w:rsidR="0093293B">
        <w:t>Col</w:t>
      </w:r>
      <w:r w:rsidR="008F50A1">
        <w:t>lege’s existing NTL procedures.</w:t>
      </w:r>
    </w:p>
    <w:p w:rsidR="00F4255A" w:rsidRDefault="00F4255A" w:rsidP="00950AAA">
      <w:pPr>
        <w:spacing w:after="0" w:line="240" w:lineRule="auto"/>
      </w:pPr>
    </w:p>
    <w:p w:rsidR="00FC3F4C" w:rsidRDefault="00F4255A" w:rsidP="00F4255A">
      <w:pPr>
        <w:spacing w:after="0" w:line="240" w:lineRule="auto"/>
      </w:pPr>
      <w:r>
        <w:rPr>
          <w:i/>
        </w:rPr>
        <w:t xml:space="preserve">Budgeting/Availability of Funds: </w:t>
      </w:r>
      <w:r w:rsidRPr="001A5FC4">
        <w:t xml:space="preserve">The Budget Office will upload budgets for the two NTL units into </w:t>
      </w:r>
      <w:r w:rsidR="00FC3F4C">
        <w:t xml:space="preserve">a central account. As purchases are made, funds will be added to the account based on approval from Financial Accounting. </w:t>
      </w:r>
    </w:p>
    <w:p w:rsidR="008F50A1" w:rsidRDefault="008F50A1" w:rsidP="00950AAA">
      <w:pPr>
        <w:spacing w:after="0" w:line="240" w:lineRule="auto"/>
      </w:pPr>
    </w:p>
    <w:p w:rsidR="001E1178" w:rsidRDefault="008F50A1" w:rsidP="00950AAA">
      <w:pPr>
        <w:spacing w:after="0" w:line="240" w:lineRule="auto"/>
        <w:rPr>
          <w:rStyle w:val="Hyperlink"/>
          <w:color w:val="auto"/>
          <w:u w:val="none"/>
        </w:rPr>
      </w:pPr>
      <w:r>
        <w:rPr>
          <w:i/>
        </w:rPr>
        <w:t xml:space="preserve">Submission of Requisitions: </w:t>
      </w:r>
      <w:r w:rsidR="0070573D">
        <w:t xml:space="preserve">Transactions greater than $1,000.00 will require the submission of requisitions into CUNYfirst. </w:t>
      </w:r>
      <w:r w:rsidR="00536A55">
        <w:t>As</w:t>
      </w:r>
      <w:r w:rsidR="0070573D">
        <w:t xml:space="preserve"> with tax levy (TL), these transactions will require department, category (if necessary), </w:t>
      </w:r>
      <w:r w:rsidR="00536A55">
        <w:t xml:space="preserve">and budget approval. </w:t>
      </w:r>
      <w:r w:rsidR="0070573D">
        <w:t>Information on how to submit and process requisitions</w:t>
      </w:r>
      <w:r w:rsidR="00211E3F">
        <w:t xml:space="preserve"> </w:t>
      </w:r>
      <w:r w:rsidR="001E1178">
        <w:t xml:space="preserve">are available on </w:t>
      </w:r>
      <w:r w:rsidR="0070573D">
        <w:t xml:space="preserve">the </w:t>
      </w:r>
      <w:hyperlink r:id="rId9" w:anchor="overlay-context=finance/cunyfirst-non-tax-levy" w:history="1">
        <w:r w:rsidR="00FC3F4C" w:rsidRPr="00625600">
          <w:rPr>
            <w:rStyle w:val="Hyperlink"/>
            <w:color w:val="auto"/>
          </w:rPr>
          <w:t>CCNY Finance NTL webpage.</w:t>
        </w:r>
      </w:hyperlink>
      <w:r w:rsidR="001E1178" w:rsidRPr="00625600">
        <w:rPr>
          <w:rStyle w:val="Hyperlink"/>
          <w:color w:val="auto"/>
          <w:u w:val="none"/>
        </w:rPr>
        <w:t xml:space="preserve"> </w:t>
      </w:r>
      <w:r w:rsidR="00211E3F">
        <w:rPr>
          <w:rStyle w:val="Hyperlink"/>
          <w:color w:val="auto"/>
          <w:u w:val="none"/>
        </w:rPr>
        <w:t xml:space="preserve">Prior to the start of the fall semester, </w:t>
      </w:r>
      <w:r w:rsidR="00211E3F" w:rsidRPr="00211E3F">
        <w:rPr>
          <w:rStyle w:val="Hyperlink"/>
          <w:color w:val="auto"/>
          <w:u w:val="none"/>
        </w:rPr>
        <w:t>a list of department and program codes that have been mapped from the College’s legacy NTL system to CUNYfirst</w:t>
      </w:r>
      <w:r w:rsidR="00211E3F">
        <w:rPr>
          <w:rStyle w:val="Hyperlink"/>
          <w:color w:val="auto"/>
          <w:u w:val="none"/>
        </w:rPr>
        <w:t xml:space="preserve"> will also be made available.</w:t>
      </w:r>
      <w:r w:rsidR="00BA1879">
        <w:rPr>
          <w:rStyle w:val="Hyperlink"/>
          <w:color w:val="auto"/>
          <w:u w:val="none"/>
        </w:rPr>
        <w:t xml:space="preserve"> In the interim, please reach out to Ilona Roman, the Manager for Non-Tax Levy Accounts, for </w:t>
      </w:r>
      <w:r w:rsidR="00096C3B">
        <w:rPr>
          <w:rStyle w:val="Hyperlink"/>
          <w:color w:val="auto"/>
          <w:u w:val="none"/>
        </w:rPr>
        <w:t>the chart fields.</w:t>
      </w:r>
    </w:p>
    <w:p w:rsidR="001E1178" w:rsidRDefault="001E1178" w:rsidP="00950AAA">
      <w:pPr>
        <w:spacing w:after="0" w:line="240" w:lineRule="auto"/>
        <w:rPr>
          <w:rStyle w:val="Hyperlink"/>
          <w:color w:val="auto"/>
          <w:u w:val="none"/>
        </w:rPr>
      </w:pPr>
    </w:p>
    <w:p w:rsidR="002F468C" w:rsidRPr="002F468C" w:rsidRDefault="00A17AC4" w:rsidP="00950AAA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i/>
          <w:color w:val="auto"/>
          <w:u w:val="none"/>
        </w:rPr>
        <w:t>NTL Vendor Enrollment</w:t>
      </w:r>
      <w:r w:rsidR="002F468C" w:rsidRPr="002F468C">
        <w:rPr>
          <w:rStyle w:val="Hyperlink"/>
          <w:i/>
          <w:color w:val="auto"/>
          <w:u w:val="none"/>
        </w:rPr>
        <w:t xml:space="preserve">: </w:t>
      </w:r>
      <w:r w:rsidR="002F468C" w:rsidRPr="002F468C">
        <w:rPr>
          <w:rStyle w:val="Hyperlink"/>
          <w:color w:val="auto"/>
          <w:u w:val="none"/>
        </w:rPr>
        <w:t>D</w:t>
      </w:r>
      <w:r>
        <w:rPr>
          <w:rStyle w:val="Hyperlink"/>
          <w:color w:val="auto"/>
          <w:u w:val="none"/>
        </w:rPr>
        <w:t>uring production</w:t>
      </w:r>
      <w:r w:rsidR="002F468C" w:rsidRPr="002F468C">
        <w:rPr>
          <w:rStyle w:val="Hyperlink"/>
          <w:color w:val="auto"/>
          <w:u w:val="none"/>
        </w:rPr>
        <w:t>, frequently used vendors were enrolled into the NTL module</w:t>
      </w:r>
      <w:r>
        <w:rPr>
          <w:rStyle w:val="Hyperlink"/>
          <w:color w:val="auto"/>
          <w:u w:val="none"/>
        </w:rPr>
        <w:t xml:space="preserve">; </w:t>
      </w:r>
      <w:r w:rsidR="002F468C" w:rsidRPr="002F468C">
        <w:rPr>
          <w:rStyle w:val="Hyperlink"/>
          <w:color w:val="auto"/>
          <w:u w:val="none"/>
        </w:rPr>
        <w:t>however, some were not. For those vendors that are not in the NTL module of CUNYfirst</w:t>
      </w:r>
      <w:r w:rsidR="002F468C">
        <w:rPr>
          <w:rStyle w:val="Hyperlink"/>
          <w:color w:val="auto"/>
          <w:u w:val="none"/>
        </w:rPr>
        <w:t xml:space="preserve">, departments and their respective requestors </w:t>
      </w:r>
      <w:r w:rsidR="002F468C" w:rsidRPr="002F468C">
        <w:rPr>
          <w:rStyle w:val="Hyperlink"/>
          <w:color w:val="auto"/>
          <w:u w:val="none"/>
        </w:rPr>
        <w:t xml:space="preserve">will be required to ask vendors to complete the Substitute W-9 and e-Pay forms found on the </w:t>
      </w:r>
      <w:hyperlink r:id="rId10" w:anchor="overlay-context=finance/cunyfirst-non-tax-levy" w:history="1">
        <w:r w:rsidR="002F468C" w:rsidRPr="002F468C">
          <w:rPr>
            <w:rStyle w:val="Hyperlink"/>
            <w:color w:val="auto"/>
          </w:rPr>
          <w:t>CCNY Finance NTL webpage.</w:t>
        </w:r>
      </w:hyperlink>
      <w:r w:rsidR="002F468C" w:rsidRPr="002F468C">
        <w:rPr>
          <w:rStyle w:val="Hyperlink"/>
          <w:color w:val="auto"/>
          <w:u w:val="none"/>
        </w:rPr>
        <w:t xml:space="preserve"> Original, completed forms must then be sent to </w:t>
      </w:r>
      <w:r w:rsidR="00757B0D" w:rsidRPr="00757B0D">
        <w:rPr>
          <w:rStyle w:val="Hyperlink"/>
          <w:color w:val="auto"/>
          <w:u w:val="none"/>
        </w:rPr>
        <w:t xml:space="preserve">the Manager for Non-Tax Levy Accounts </w:t>
      </w:r>
      <w:r w:rsidR="002F468C" w:rsidRPr="002F468C">
        <w:rPr>
          <w:rStyle w:val="Hyperlink"/>
          <w:color w:val="auto"/>
          <w:u w:val="none"/>
        </w:rPr>
        <w:t>in t</w:t>
      </w:r>
      <w:r>
        <w:rPr>
          <w:rStyle w:val="Hyperlink"/>
          <w:color w:val="auto"/>
          <w:u w:val="none"/>
        </w:rPr>
        <w:t xml:space="preserve">he </w:t>
      </w:r>
      <w:r w:rsidR="00BA1879">
        <w:rPr>
          <w:rStyle w:val="Hyperlink"/>
          <w:color w:val="auto"/>
          <w:u w:val="none"/>
        </w:rPr>
        <w:t xml:space="preserve">Financial </w:t>
      </w:r>
      <w:r>
        <w:rPr>
          <w:rStyle w:val="Hyperlink"/>
          <w:color w:val="auto"/>
          <w:u w:val="none"/>
        </w:rPr>
        <w:t>Accounting Office for processing.</w:t>
      </w:r>
    </w:p>
    <w:p w:rsidR="002F468C" w:rsidRDefault="002F468C" w:rsidP="00950AAA">
      <w:pPr>
        <w:spacing w:after="0" w:line="240" w:lineRule="auto"/>
      </w:pPr>
      <w:r>
        <w:rPr>
          <w:rStyle w:val="Hyperlink"/>
        </w:rPr>
        <w:t xml:space="preserve"> </w:t>
      </w:r>
    </w:p>
    <w:p w:rsidR="008F50A1" w:rsidRDefault="008F50A1" w:rsidP="00950AAA">
      <w:pPr>
        <w:spacing w:after="0" w:line="240" w:lineRule="auto"/>
      </w:pPr>
      <w:r w:rsidRPr="008F50A1">
        <w:rPr>
          <w:i/>
        </w:rPr>
        <w:t>Payments of Purchase Orders:</w:t>
      </w:r>
      <w:r>
        <w:t xml:space="preserve"> The issuance of vouchers against any purchase orders greater than $1,000.00 will now be handled by the Accounts P</w:t>
      </w:r>
      <w:r w:rsidR="00536A55">
        <w:t xml:space="preserve">ayable unit. </w:t>
      </w:r>
      <w:r w:rsidR="00AA53EA">
        <w:t xml:space="preserve">Voucher and </w:t>
      </w:r>
      <w:r w:rsidR="00536A55">
        <w:t xml:space="preserve">payment process cycle </w:t>
      </w:r>
      <w:r w:rsidR="004266C9">
        <w:t>procedure</w:t>
      </w:r>
      <w:r w:rsidR="00AA53EA">
        <w:t>s</w:t>
      </w:r>
      <w:r w:rsidR="004266C9">
        <w:t xml:space="preserve"> can also be found on the</w:t>
      </w:r>
      <w:r w:rsidR="00FC3F4C">
        <w:t xml:space="preserve"> </w:t>
      </w:r>
      <w:hyperlink r:id="rId11" w:anchor="overlay-context=finance/cunyfirst-non-tax-levy" w:history="1">
        <w:r w:rsidR="00FC3F4C" w:rsidRPr="00625600">
          <w:rPr>
            <w:rStyle w:val="Hyperlink"/>
            <w:color w:val="auto"/>
          </w:rPr>
          <w:t>CCNY Finance NTL webpage</w:t>
        </w:r>
      </w:hyperlink>
      <w:r w:rsidR="004266C9">
        <w:t>.</w:t>
      </w:r>
      <w:r w:rsidR="00536A55">
        <w:t xml:space="preserve"> </w:t>
      </w:r>
    </w:p>
    <w:p w:rsidR="007D1934" w:rsidRDefault="007D1934" w:rsidP="00950AAA">
      <w:pPr>
        <w:spacing w:after="0" w:line="240" w:lineRule="auto"/>
      </w:pPr>
    </w:p>
    <w:p w:rsidR="0014156B" w:rsidRPr="008F62D5" w:rsidRDefault="0014156B" w:rsidP="00950AAA">
      <w:pPr>
        <w:spacing w:after="0" w:line="240" w:lineRule="auto"/>
        <w:rPr>
          <w:b/>
        </w:rPr>
      </w:pPr>
      <w:r w:rsidRPr="008F62D5">
        <w:rPr>
          <w:b/>
        </w:rPr>
        <w:t>CUNYfirst User Roles</w:t>
      </w:r>
    </w:p>
    <w:p w:rsidR="00536A55" w:rsidRDefault="00FA083E" w:rsidP="00950AAA">
      <w:pPr>
        <w:spacing w:after="0" w:line="240" w:lineRule="auto"/>
      </w:pPr>
      <w:r w:rsidRPr="00FA083E">
        <w:t xml:space="preserve">Because non-tax levy transactions will follow the procure-to-pay process already established in CUNYfirst, tax-levy user roles have been replicated to the non-tax levy module </w:t>
      </w:r>
      <w:r w:rsidR="0014156B">
        <w:t>(</w:t>
      </w:r>
      <w:r w:rsidRPr="00FA083E">
        <w:t>i.e. requestor, creator, and department approver roles</w:t>
      </w:r>
      <w:r w:rsidR="0014156B">
        <w:t>)</w:t>
      </w:r>
      <w:r w:rsidR="0070573D">
        <w:t xml:space="preserve">. As you are </w:t>
      </w:r>
      <w:r w:rsidRPr="00FA083E">
        <w:t>responsible for submitting NTL</w:t>
      </w:r>
      <w:r w:rsidR="0070573D">
        <w:t xml:space="preserve"> requisitions and disbursements, you </w:t>
      </w:r>
      <w:r w:rsidRPr="00FA083E">
        <w:t>have been selected to complete these same job functions in CUNYfirst</w:t>
      </w:r>
      <w:r w:rsidR="0014156B">
        <w:t xml:space="preserve">. </w:t>
      </w:r>
      <w:r w:rsidRPr="00FA083E">
        <w:t xml:space="preserve">In addition, </w:t>
      </w:r>
      <w:r w:rsidR="0014156B">
        <w:t xml:space="preserve">College-wide </w:t>
      </w:r>
      <w:r w:rsidRPr="00FA083E">
        <w:t xml:space="preserve">category approvers for information technology, hazardous materials, legal services, and facilities/furniture have also been </w:t>
      </w:r>
      <w:r>
        <w:t xml:space="preserve">created </w:t>
      </w:r>
      <w:r w:rsidRPr="00FA083E">
        <w:t>and were based o</w:t>
      </w:r>
      <w:r>
        <w:t xml:space="preserve">n </w:t>
      </w:r>
      <w:r w:rsidRPr="00FA083E">
        <w:t xml:space="preserve">the roles </w:t>
      </w:r>
      <w:r>
        <w:t xml:space="preserve">that currently exist for </w:t>
      </w:r>
      <w:r w:rsidR="00F4255A">
        <w:t xml:space="preserve">TL. </w:t>
      </w:r>
    </w:p>
    <w:p w:rsidR="00536A55" w:rsidRDefault="00536A55" w:rsidP="00950AAA">
      <w:pPr>
        <w:spacing w:after="0" w:line="240" w:lineRule="auto"/>
      </w:pPr>
    </w:p>
    <w:p w:rsidR="00FA083E" w:rsidRDefault="00FA083E" w:rsidP="00950AAA">
      <w:pPr>
        <w:spacing w:after="0" w:line="240" w:lineRule="auto"/>
      </w:pPr>
      <w:r w:rsidRPr="00FA083E">
        <w:t xml:space="preserve">Should </w:t>
      </w:r>
      <w:r w:rsidR="0070573D">
        <w:t>you find that you</w:t>
      </w:r>
      <w:r w:rsidR="00420B15">
        <w:t xml:space="preserve">r </w:t>
      </w:r>
      <w:r w:rsidR="0004173C">
        <w:t>CUNYfirst NTL access is incorrect or incomplete, and y</w:t>
      </w:r>
      <w:r w:rsidR="00420B15">
        <w:t xml:space="preserve">ou cannot complete </w:t>
      </w:r>
      <w:r w:rsidR="0070573D">
        <w:t xml:space="preserve">certain NTL business tasks, </w:t>
      </w:r>
      <w:r w:rsidR="00CA65AD">
        <w:t xml:space="preserve">you will be required to complete </w:t>
      </w:r>
      <w:r w:rsidR="00757B0D">
        <w:t>a “User Access Request Form</w:t>
      </w:r>
      <w:r w:rsidR="00AA53EA">
        <w:t>,</w:t>
      </w:r>
      <w:r w:rsidR="00757B0D">
        <w:t>”</w:t>
      </w:r>
      <w:r w:rsidR="00AA53EA">
        <w:t xml:space="preserve"> which </w:t>
      </w:r>
      <w:r w:rsidR="001E1178">
        <w:t xml:space="preserve">have since been </w:t>
      </w:r>
      <w:r w:rsidR="00AA53EA">
        <w:t>updated b</w:t>
      </w:r>
      <w:r w:rsidR="00F4255A">
        <w:t xml:space="preserve">y </w:t>
      </w:r>
      <w:r w:rsidR="00CA65AD">
        <w:t>CUNY Central</w:t>
      </w:r>
      <w:r w:rsidR="00F4255A">
        <w:t xml:space="preserve"> Administration</w:t>
      </w:r>
      <w:r w:rsidR="00C600D2">
        <w:t xml:space="preserve">. </w:t>
      </w:r>
      <w:r w:rsidR="00757B0D">
        <w:t xml:space="preserve">This form </w:t>
      </w:r>
      <w:r w:rsidR="001E1178">
        <w:t>contain</w:t>
      </w:r>
      <w:r w:rsidR="00757B0D">
        <w:t>s</w:t>
      </w:r>
      <w:r w:rsidR="001E1178">
        <w:t xml:space="preserve"> </w:t>
      </w:r>
      <w:r w:rsidR="00096C3B">
        <w:t>spaces for chart fields, w</w:t>
      </w:r>
      <w:r w:rsidR="001E1178">
        <w:t xml:space="preserve">hich you can obtain from </w:t>
      </w:r>
      <w:r w:rsidR="0004173C" w:rsidRPr="0004173C">
        <w:t xml:space="preserve">the Manager for Non-Tax Levy Accounts </w:t>
      </w:r>
      <w:r w:rsidR="001E1178">
        <w:t>immediately</w:t>
      </w:r>
      <w:r w:rsidR="0004173C">
        <w:t>,</w:t>
      </w:r>
      <w:r w:rsidR="001E1178">
        <w:t xml:space="preserve"> and on the </w:t>
      </w:r>
      <w:hyperlink r:id="rId12" w:anchor="overlay-context=finance/cunyfirst-non-tax-levy" w:history="1">
        <w:r w:rsidR="001E1178" w:rsidRPr="00625600">
          <w:rPr>
            <w:rStyle w:val="Hyperlink"/>
            <w:color w:val="auto"/>
          </w:rPr>
          <w:t>CCNY Finance NTL webpage</w:t>
        </w:r>
      </w:hyperlink>
      <w:r w:rsidR="001E1178">
        <w:t xml:space="preserve"> in the near future. </w:t>
      </w:r>
      <w:r w:rsidR="00C600D2">
        <w:t xml:space="preserve">Completed forms are to be sent to </w:t>
      </w:r>
      <w:r w:rsidR="00BA1879">
        <w:t xml:space="preserve">the </w:t>
      </w:r>
      <w:r w:rsidR="00BA1879" w:rsidRPr="00BA1879">
        <w:t xml:space="preserve">Manager for Non-Tax Levy Accounts </w:t>
      </w:r>
      <w:r w:rsidR="00C600D2">
        <w:t xml:space="preserve">for verification. </w:t>
      </w:r>
      <w:r w:rsidR="00CA65AD">
        <w:t>T</w:t>
      </w:r>
      <w:r w:rsidR="0014156B">
        <w:t>he</w:t>
      </w:r>
      <w:r w:rsidR="0014156B" w:rsidRPr="00FA083E">
        <w:t xml:space="preserve"> </w:t>
      </w:r>
      <w:r w:rsidRPr="00FA083E">
        <w:t xml:space="preserve">Business </w:t>
      </w:r>
      <w:r w:rsidR="0004173C">
        <w:t xml:space="preserve">Office and IT Service Desk </w:t>
      </w:r>
      <w:r w:rsidR="00CA65AD">
        <w:t xml:space="preserve">will then make the </w:t>
      </w:r>
      <w:r w:rsidRPr="00FA083E">
        <w:t>nec</w:t>
      </w:r>
      <w:r w:rsidR="00CA65AD">
        <w:t>essary adjustments in CUNYfirst.</w:t>
      </w:r>
      <w:r w:rsidR="00C600D2">
        <w:t xml:space="preserve"> </w:t>
      </w:r>
    </w:p>
    <w:p w:rsidR="004266C9" w:rsidRDefault="004266C9" w:rsidP="00950AAA">
      <w:pPr>
        <w:spacing w:after="0" w:line="240" w:lineRule="auto"/>
      </w:pPr>
    </w:p>
    <w:p w:rsidR="00420B15" w:rsidRPr="00420B15" w:rsidRDefault="00420B15" w:rsidP="00950AAA">
      <w:pPr>
        <w:spacing w:after="0" w:line="240" w:lineRule="auto"/>
        <w:rPr>
          <w:b/>
        </w:rPr>
      </w:pPr>
      <w:r>
        <w:rPr>
          <w:b/>
        </w:rPr>
        <w:t>Additional Modules</w:t>
      </w:r>
    </w:p>
    <w:p w:rsidR="001F66B2" w:rsidRDefault="001F66B2" w:rsidP="001F66B2">
      <w:pPr>
        <w:spacing w:after="0" w:line="240" w:lineRule="auto"/>
      </w:pPr>
    </w:p>
    <w:p w:rsidR="004266C9" w:rsidRDefault="004266C9" w:rsidP="001F66B2">
      <w:pPr>
        <w:spacing w:after="0" w:line="240" w:lineRule="auto"/>
        <w:ind w:left="360"/>
        <w:rPr>
          <w:b/>
        </w:rPr>
      </w:pPr>
      <w:r>
        <w:rPr>
          <w:b/>
        </w:rPr>
        <w:t>Travel and E</w:t>
      </w:r>
      <w:r w:rsidR="00420B15">
        <w:rPr>
          <w:b/>
        </w:rPr>
        <w:t>xpense</w:t>
      </w:r>
    </w:p>
    <w:p w:rsidR="001979DC" w:rsidRDefault="004266C9" w:rsidP="001F66B2">
      <w:pPr>
        <w:spacing w:after="0" w:line="240" w:lineRule="auto"/>
        <w:ind w:left="360"/>
      </w:pPr>
      <w:r>
        <w:t>L</w:t>
      </w:r>
      <w:r w:rsidR="00420B15">
        <w:t>ater this year</w:t>
      </w:r>
      <w:r>
        <w:t xml:space="preserve"> travel </w:t>
      </w:r>
      <w:r w:rsidR="00420B15">
        <w:t xml:space="preserve">authorizations and expense reimbursements for employees and students paid with funds from Bursar Special and Trusts and Gifts will be processed in </w:t>
      </w:r>
      <w:r>
        <w:t>C</w:t>
      </w:r>
      <w:r w:rsidR="00420B15">
        <w:t>UNYfirst</w:t>
      </w:r>
      <w:r>
        <w:t xml:space="preserve">. </w:t>
      </w:r>
      <w:r w:rsidR="00420B15">
        <w:t xml:space="preserve">Profiles for employees who are eligible to obtain reimbursements will be created. </w:t>
      </w:r>
    </w:p>
    <w:p w:rsidR="001979DC" w:rsidRDefault="001979DC" w:rsidP="001F66B2">
      <w:pPr>
        <w:spacing w:after="0" w:line="240" w:lineRule="auto"/>
        <w:ind w:left="360"/>
      </w:pPr>
    </w:p>
    <w:p w:rsidR="004266C9" w:rsidRDefault="004266C9" w:rsidP="001F66B2">
      <w:pPr>
        <w:spacing w:after="0" w:line="240" w:lineRule="auto"/>
        <w:ind w:firstLine="360"/>
        <w:rPr>
          <w:b/>
        </w:rPr>
      </w:pPr>
      <w:r>
        <w:rPr>
          <w:b/>
        </w:rPr>
        <w:t>Wire Tr</w:t>
      </w:r>
      <w:r w:rsidR="00420B15">
        <w:rPr>
          <w:b/>
        </w:rPr>
        <w:t>ansfers</w:t>
      </w:r>
    </w:p>
    <w:p w:rsidR="004266C9" w:rsidRPr="004266C9" w:rsidRDefault="004266C9" w:rsidP="001F66B2">
      <w:pPr>
        <w:spacing w:after="0" w:line="240" w:lineRule="auto"/>
        <w:ind w:left="360"/>
      </w:pPr>
      <w:r>
        <w:t>L</w:t>
      </w:r>
      <w:r w:rsidR="001979DC">
        <w:t>ater this year</w:t>
      </w:r>
      <w:r>
        <w:t xml:space="preserve"> foreign wire functionality will </w:t>
      </w:r>
      <w:r w:rsidR="001979DC">
        <w:t xml:space="preserve">also </w:t>
      </w:r>
      <w:r>
        <w:t xml:space="preserve">be activated in CUNYfirst. Until that time, however, transactions </w:t>
      </w:r>
      <w:r w:rsidR="001F66B2">
        <w:t>requiring</w:t>
      </w:r>
      <w:r>
        <w:t xml:space="preserve"> foreign wires will be processed via </w:t>
      </w:r>
      <w:r w:rsidR="00653742">
        <w:t>through the current NTL process managed by the Financial Accounting Office</w:t>
      </w:r>
      <w:r>
        <w:t xml:space="preserve">. </w:t>
      </w:r>
    </w:p>
    <w:p w:rsidR="00CA65AD" w:rsidRDefault="00CA65AD" w:rsidP="00950AAA">
      <w:pPr>
        <w:spacing w:after="0" w:line="240" w:lineRule="auto"/>
      </w:pPr>
    </w:p>
    <w:p w:rsidR="00F4255A" w:rsidRDefault="001C5012" w:rsidP="00950AAA">
      <w:pPr>
        <w:spacing w:after="0" w:line="240" w:lineRule="auto"/>
        <w:rPr>
          <w:b/>
        </w:rPr>
      </w:pPr>
      <w:r>
        <w:rPr>
          <w:b/>
        </w:rPr>
        <w:t>Trainin</w:t>
      </w:r>
      <w:r w:rsidR="00F4255A">
        <w:rPr>
          <w:b/>
        </w:rPr>
        <w:t>g</w:t>
      </w:r>
    </w:p>
    <w:p w:rsidR="0093293B" w:rsidRDefault="00B87982" w:rsidP="00950AAA">
      <w:pPr>
        <w:spacing w:after="0" w:line="240" w:lineRule="auto"/>
      </w:pPr>
      <w:r>
        <w:t>In the beginning of the fall 2019 semester</w:t>
      </w:r>
      <w:r w:rsidR="0093293B">
        <w:t xml:space="preserve">, the Business Office will be offering workshops and trainings on the NTL procure-to-pay process. We strongly urge </w:t>
      </w:r>
      <w:r w:rsidR="008F50A1">
        <w:t xml:space="preserve">you </w:t>
      </w:r>
      <w:r w:rsidR="00FA083E">
        <w:t xml:space="preserve">to attend these sessions to understand better how the NTL module affects </w:t>
      </w:r>
      <w:r w:rsidR="004266C9">
        <w:t>your</w:t>
      </w:r>
      <w:r w:rsidR="00FA083E">
        <w:t xml:space="preserve"> responsibilities and </w:t>
      </w:r>
      <w:r w:rsidR="00B624D8">
        <w:t xml:space="preserve">your </w:t>
      </w:r>
      <w:r w:rsidR="00FA083E">
        <w:t>departments’ internal processes.</w:t>
      </w:r>
      <w:r w:rsidR="00F4255A">
        <w:t xml:space="preserve"> </w:t>
      </w:r>
      <w:r w:rsidR="00420B15">
        <w:t xml:space="preserve">Lecture and </w:t>
      </w:r>
      <w:r w:rsidR="001979DC">
        <w:t>d</w:t>
      </w:r>
      <w:r w:rsidR="00420B15">
        <w:t>emonstration t</w:t>
      </w:r>
      <w:r w:rsidR="00F4255A">
        <w:t>rainings will be held on the following dates and times:</w:t>
      </w:r>
    </w:p>
    <w:p w:rsidR="00F4255A" w:rsidRDefault="00F4255A" w:rsidP="00950AAA">
      <w:pPr>
        <w:spacing w:after="0" w:line="240" w:lineRule="auto"/>
      </w:pPr>
    </w:p>
    <w:p w:rsidR="00F4255A" w:rsidRDefault="00FC3F4C" w:rsidP="00420B15">
      <w:pPr>
        <w:spacing w:after="0" w:line="240" w:lineRule="auto"/>
        <w:ind w:left="720"/>
        <w:rPr>
          <w:b/>
        </w:rPr>
      </w:pPr>
      <w:r>
        <w:rPr>
          <w:b/>
        </w:rPr>
        <w:t>Thursday, August 29, 2019</w:t>
      </w:r>
      <w:r w:rsidR="00420B15">
        <w:rPr>
          <w:b/>
        </w:rPr>
        <w:t xml:space="preserve">, </w:t>
      </w:r>
      <w:r w:rsidRPr="00FC3F4C">
        <w:rPr>
          <w:b/>
        </w:rPr>
        <w:t>10:00 AM – 12:00 PM</w:t>
      </w:r>
    </w:p>
    <w:p w:rsidR="00420B15" w:rsidRPr="00420B15" w:rsidRDefault="00420B15" w:rsidP="00420B15">
      <w:pPr>
        <w:spacing w:after="0" w:line="240" w:lineRule="auto"/>
        <w:ind w:left="720"/>
      </w:pPr>
      <w:r>
        <w:t xml:space="preserve">North Academic Center, </w:t>
      </w:r>
      <w:r w:rsidR="00FC3F4C">
        <w:t>5/212</w:t>
      </w:r>
    </w:p>
    <w:p w:rsidR="00420B15" w:rsidRPr="00420B15" w:rsidRDefault="00420B15" w:rsidP="00420B15">
      <w:pPr>
        <w:spacing w:after="0" w:line="240" w:lineRule="auto"/>
        <w:ind w:left="720"/>
        <w:rPr>
          <w:b/>
        </w:rPr>
      </w:pPr>
    </w:p>
    <w:p w:rsidR="00FC3F4C" w:rsidRDefault="00FC3F4C" w:rsidP="00420B15">
      <w:pPr>
        <w:spacing w:after="0" w:line="240" w:lineRule="auto"/>
        <w:ind w:left="720"/>
        <w:rPr>
          <w:b/>
        </w:rPr>
      </w:pPr>
      <w:r w:rsidRPr="00FC3F4C">
        <w:rPr>
          <w:b/>
        </w:rPr>
        <w:t>Wednesday, September 18, 2019</w:t>
      </w:r>
      <w:r w:rsidR="00537B89">
        <w:rPr>
          <w:b/>
        </w:rPr>
        <w:t>,</w:t>
      </w:r>
      <w:r w:rsidRPr="00FC3F4C">
        <w:rPr>
          <w:b/>
        </w:rPr>
        <w:t xml:space="preserve"> 10:00 – 12:00 PM </w:t>
      </w:r>
    </w:p>
    <w:p w:rsidR="00420B15" w:rsidRPr="00420B15" w:rsidRDefault="00420B15" w:rsidP="00420B15">
      <w:pPr>
        <w:spacing w:after="0" w:line="240" w:lineRule="auto"/>
        <w:ind w:left="720"/>
      </w:pPr>
      <w:r>
        <w:lastRenderedPageBreak/>
        <w:t xml:space="preserve">North Academic Center, </w:t>
      </w:r>
      <w:r w:rsidR="00FC3F4C">
        <w:t>5/212</w:t>
      </w:r>
    </w:p>
    <w:p w:rsidR="00F4255A" w:rsidRDefault="00F4255A" w:rsidP="00950AAA">
      <w:pPr>
        <w:spacing w:after="0" w:line="240" w:lineRule="auto"/>
      </w:pPr>
    </w:p>
    <w:p w:rsidR="0093293B" w:rsidRDefault="00F4255A" w:rsidP="00420B15">
      <w:pPr>
        <w:spacing w:after="0" w:line="240" w:lineRule="auto"/>
      </w:pPr>
      <w:r>
        <w:t xml:space="preserve">A </w:t>
      </w:r>
      <w:r w:rsidR="00420B15">
        <w:t xml:space="preserve">Q&amp; A workshop </w:t>
      </w:r>
      <w:r>
        <w:t xml:space="preserve">for end users to ask questions </w:t>
      </w:r>
      <w:r w:rsidR="001979DC">
        <w:t xml:space="preserve">on a first-come, first-served basis about </w:t>
      </w:r>
      <w:r>
        <w:t xml:space="preserve">the NTL </w:t>
      </w:r>
      <w:r w:rsidR="001979DC">
        <w:t>module</w:t>
      </w:r>
      <w:r>
        <w:t xml:space="preserve"> has also been scheduled for </w:t>
      </w:r>
      <w:r w:rsidR="00FC3F4C" w:rsidRPr="00FC3F4C">
        <w:rPr>
          <w:b/>
        </w:rPr>
        <w:t>Thursday, September 12</w:t>
      </w:r>
      <w:r w:rsidR="00537B89">
        <w:rPr>
          <w:b/>
        </w:rPr>
        <w:t xml:space="preserve">, 2019 from </w:t>
      </w:r>
      <w:r w:rsidR="00FC3F4C" w:rsidRPr="00FC3F4C">
        <w:rPr>
          <w:b/>
        </w:rPr>
        <w:t>10:00 AM – 12:00 PM</w:t>
      </w:r>
      <w:r w:rsidR="00FC3F4C">
        <w:rPr>
          <w:b/>
        </w:rPr>
        <w:t xml:space="preserve"> </w:t>
      </w:r>
      <w:r w:rsidR="00420B15">
        <w:t xml:space="preserve">in Room </w:t>
      </w:r>
      <w:r w:rsidR="00FC3F4C">
        <w:t xml:space="preserve">5/212 </w:t>
      </w:r>
      <w:r w:rsidR="00420B15">
        <w:t>of the North Academic Center.</w:t>
      </w:r>
    </w:p>
    <w:p w:rsidR="00C20354" w:rsidRDefault="00C20354" w:rsidP="00420B15">
      <w:pPr>
        <w:spacing w:after="0" w:line="240" w:lineRule="auto"/>
      </w:pPr>
    </w:p>
    <w:p w:rsidR="00653742" w:rsidRPr="00653742" w:rsidRDefault="00653742" w:rsidP="00420B15">
      <w:pPr>
        <w:spacing w:after="0" w:line="240" w:lineRule="auto"/>
        <w:rPr>
          <w:color w:val="0563C1" w:themeColor="hyperlink"/>
          <w:u w:val="single"/>
        </w:rPr>
      </w:pPr>
      <w:r>
        <w:t xml:space="preserve">Training materials can be found on the </w:t>
      </w:r>
      <w:hyperlink r:id="rId13" w:anchor="overlay-context=finance/cunyfirst-non-tax-levy" w:history="1">
        <w:r w:rsidRPr="00625600">
          <w:rPr>
            <w:rStyle w:val="Hyperlink"/>
            <w:color w:val="auto"/>
          </w:rPr>
          <w:t>CCNY Finance NTL webpage.</w:t>
        </w:r>
      </w:hyperlink>
      <w:r>
        <w:t xml:space="preserve"> The </w:t>
      </w:r>
      <w:r w:rsidR="001E1178">
        <w:t xml:space="preserve">Business </w:t>
      </w:r>
      <w:r>
        <w:t>Office encourages you to read these materials in advance of the trainings.</w:t>
      </w:r>
    </w:p>
    <w:p w:rsidR="00653742" w:rsidRDefault="00653742" w:rsidP="00420B15">
      <w:pPr>
        <w:spacing w:after="0" w:line="240" w:lineRule="auto"/>
      </w:pPr>
    </w:p>
    <w:p w:rsidR="001979DC" w:rsidRPr="00C20354" w:rsidRDefault="00C20354" w:rsidP="00420B15">
      <w:pPr>
        <w:spacing w:after="0" w:line="240" w:lineRule="auto"/>
        <w:rPr>
          <w:b/>
        </w:rPr>
      </w:pPr>
      <w:r w:rsidRPr="00C20354">
        <w:rPr>
          <w:b/>
        </w:rPr>
        <w:t>Questions, Comments, &amp; Concerns</w:t>
      </w:r>
    </w:p>
    <w:p w:rsidR="001979DC" w:rsidRDefault="00C20354" w:rsidP="00420B15">
      <w:pPr>
        <w:spacing w:after="0" w:line="240" w:lineRule="auto"/>
      </w:pPr>
      <w:r>
        <w:t>Qu</w:t>
      </w:r>
      <w:r w:rsidR="001979DC">
        <w:t xml:space="preserve">estions and comments regarding NTL </w:t>
      </w:r>
      <w:r w:rsidR="00A23E19">
        <w:t>P</w:t>
      </w:r>
      <w:r w:rsidR="001979DC">
        <w:t xml:space="preserve">urchasing should be directed to </w:t>
      </w:r>
      <w:hyperlink r:id="rId14" w:history="1">
        <w:r w:rsidR="001979DC" w:rsidRPr="00311BBC">
          <w:rPr>
            <w:rStyle w:val="Hyperlink"/>
          </w:rPr>
          <w:t>purchasing@ccny.cuny.edu</w:t>
        </w:r>
      </w:hyperlink>
      <w:r w:rsidR="001979DC">
        <w:t xml:space="preserve">, NTL </w:t>
      </w:r>
      <w:r w:rsidR="00A23E19">
        <w:t>Accounts P</w:t>
      </w:r>
      <w:r w:rsidR="001979DC">
        <w:t xml:space="preserve">ayable to </w:t>
      </w:r>
      <w:hyperlink r:id="rId15" w:history="1">
        <w:r w:rsidR="00BD5000" w:rsidRPr="009720D8">
          <w:rPr>
            <w:rStyle w:val="Hyperlink"/>
          </w:rPr>
          <w:t>ap@ccny.cuny.edu</w:t>
        </w:r>
      </w:hyperlink>
      <w:r w:rsidR="00BD5000">
        <w:t xml:space="preserve">, </w:t>
      </w:r>
      <w:r w:rsidR="00A23E19">
        <w:t>F</w:t>
      </w:r>
      <w:r w:rsidR="00BD5000">
        <w:t xml:space="preserve">inancial </w:t>
      </w:r>
      <w:r w:rsidR="00A23E19">
        <w:t>A</w:t>
      </w:r>
      <w:r w:rsidR="00BD5000">
        <w:t xml:space="preserve">ccounting to </w:t>
      </w:r>
      <w:hyperlink r:id="rId16" w:history="1">
        <w:r w:rsidR="00A23E19" w:rsidRPr="00F67E32">
          <w:rPr>
            <w:rStyle w:val="Hyperlink"/>
          </w:rPr>
          <w:t>awu@ccny.cuny.edu</w:t>
        </w:r>
      </w:hyperlink>
      <w:r w:rsidR="00653742">
        <w:t xml:space="preserve">, and Budget to </w:t>
      </w:r>
      <w:hyperlink r:id="rId17" w:history="1">
        <w:r w:rsidR="00653742" w:rsidRPr="00C569D8">
          <w:rPr>
            <w:rStyle w:val="Hyperlink"/>
          </w:rPr>
          <w:t>emedina2@ccny.cuny.edu</w:t>
        </w:r>
      </w:hyperlink>
      <w:r w:rsidR="00653742">
        <w:t xml:space="preserve">. </w:t>
      </w:r>
    </w:p>
    <w:p w:rsidR="00653742" w:rsidRDefault="00653742" w:rsidP="00420B15">
      <w:pPr>
        <w:spacing w:after="0" w:line="240" w:lineRule="auto"/>
      </w:pPr>
    </w:p>
    <w:p w:rsidR="00653742" w:rsidRDefault="00653742" w:rsidP="00420B15">
      <w:pPr>
        <w:spacing w:after="0" w:line="240" w:lineRule="auto"/>
      </w:pPr>
      <w:r>
        <w:t>Thank you for your cooperation.</w:t>
      </w:r>
    </w:p>
    <w:p w:rsidR="00653742" w:rsidRDefault="00653742" w:rsidP="00420B15">
      <w:pPr>
        <w:spacing w:after="0" w:line="240" w:lineRule="auto"/>
      </w:pPr>
    </w:p>
    <w:p w:rsidR="00653742" w:rsidRDefault="00653742" w:rsidP="00420B15">
      <w:pPr>
        <w:spacing w:after="0" w:line="240" w:lineRule="auto"/>
      </w:pPr>
    </w:p>
    <w:p w:rsidR="00653742" w:rsidRDefault="00653742" w:rsidP="00420B15">
      <w:pPr>
        <w:spacing w:after="0" w:line="240" w:lineRule="auto"/>
      </w:pPr>
      <w:r>
        <w:t xml:space="preserve">C: </w:t>
      </w:r>
      <w:r>
        <w:tab/>
        <w:t>Brian Genzmann, Director of Business and Fiscal Affairs</w:t>
      </w:r>
    </w:p>
    <w:p w:rsidR="00653742" w:rsidRDefault="00653742" w:rsidP="00420B15">
      <w:pPr>
        <w:spacing w:after="0" w:line="240" w:lineRule="auto"/>
      </w:pPr>
      <w:r>
        <w:t xml:space="preserve">   </w:t>
      </w:r>
      <w:r>
        <w:tab/>
        <w:t>Eva Medina, Director of Budget</w:t>
      </w:r>
    </w:p>
    <w:p w:rsidR="00653742" w:rsidRDefault="00653742" w:rsidP="00420B15">
      <w:pPr>
        <w:spacing w:after="0" w:line="240" w:lineRule="auto"/>
      </w:pPr>
      <w:r>
        <w:tab/>
        <w:t>Andy Wu, Director of Accounting</w:t>
      </w:r>
    </w:p>
    <w:p w:rsidR="00653742" w:rsidRDefault="00653742" w:rsidP="00420B15">
      <w:pPr>
        <w:spacing w:after="0" w:line="240" w:lineRule="auto"/>
      </w:pPr>
      <w:r>
        <w:tab/>
        <w:t>Ilona Roman, Manager of Non-Tax Levy Accounts</w:t>
      </w:r>
    </w:p>
    <w:p w:rsidR="00653742" w:rsidRDefault="00653742" w:rsidP="00420B15">
      <w:pPr>
        <w:spacing w:after="0" w:line="240" w:lineRule="auto"/>
      </w:pPr>
      <w:r>
        <w:tab/>
        <w:t xml:space="preserve">Yi Ping Wei, </w:t>
      </w:r>
      <w:r w:rsidR="007D78DF">
        <w:t>Associate Director of Accounting</w:t>
      </w:r>
    </w:p>
    <w:sectPr w:rsidR="00653742" w:rsidSect="00BB6F8E">
      <w:footerReference w:type="default" r:id="rId1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C5E" w:rsidRDefault="00D51C5E" w:rsidP="00950AAA">
      <w:pPr>
        <w:spacing w:after="0" w:line="240" w:lineRule="auto"/>
      </w:pPr>
      <w:r>
        <w:separator/>
      </w:r>
    </w:p>
  </w:endnote>
  <w:endnote w:type="continuationSeparator" w:id="0">
    <w:p w:rsidR="00D51C5E" w:rsidRDefault="00D51C5E" w:rsidP="0095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6727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0AAA" w:rsidRDefault="00950A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E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0AAA" w:rsidRDefault="00950A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C5E" w:rsidRDefault="00D51C5E" w:rsidP="00950AAA">
      <w:pPr>
        <w:spacing w:after="0" w:line="240" w:lineRule="auto"/>
      </w:pPr>
      <w:r>
        <w:separator/>
      </w:r>
    </w:p>
  </w:footnote>
  <w:footnote w:type="continuationSeparator" w:id="0">
    <w:p w:rsidR="00D51C5E" w:rsidRDefault="00D51C5E" w:rsidP="00950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02"/>
    <w:rsid w:val="00000F34"/>
    <w:rsid w:val="0004173C"/>
    <w:rsid w:val="00096C3B"/>
    <w:rsid w:val="001405AC"/>
    <w:rsid w:val="0014156B"/>
    <w:rsid w:val="0016583F"/>
    <w:rsid w:val="001979DC"/>
    <w:rsid w:val="001A53F6"/>
    <w:rsid w:val="001A5FC4"/>
    <w:rsid w:val="001B53DA"/>
    <w:rsid w:val="001C5012"/>
    <w:rsid w:val="001E1178"/>
    <w:rsid w:val="001E233F"/>
    <w:rsid w:val="001F66B2"/>
    <w:rsid w:val="00204ACC"/>
    <w:rsid w:val="00211E3F"/>
    <w:rsid w:val="0023139C"/>
    <w:rsid w:val="0027299B"/>
    <w:rsid w:val="00273804"/>
    <w:rsid w:val="002F468C"/>
    <w:rsid w:val="00311197"/>
    <w:rsid w:val="003A5F0B"/>
    <w:rsid w:val="00420B15"/>
    <w:rsid w:val="004266C9"/>
    <w:rsid w:val="00536A55"/>
    <w:rsid w:val="00537B89"/>
    <w:rsid w:val="00625600"/>
    <w:rsid w:val="00653742"/>
    <w:rsid w:val="00687BAC"/>
    <w:rsid w:val="006E3609"/>
    <w:rsid w:val="0070573D"/>
    <w:rsid w:val="00757B0D"/>
    <w:rsid w:val="007D1934"/>
    <w:rsid w:val="007D78DF"/>
    <w:rsid w:val="00885B65"/>
    <w:rsid w:val="008A711F"/>
    <w:rsid w:val="008C07B9"/>
    <w:rsid w:val="008E4BF8"/>
    <w:rsid w:val="008F50A1"/>
    <w:rsid w:val="008F62D5"/>
    <w:rsid w:val="0093293B"/>
    <w:rsid w:val="00933D10"/>
    <w:rsid w:val="00950AAA"/>
    <w:rsid w:val="00A17AC4"/>
    <w:rsid w:val="00A23E19"/>
    <w:rsid w:val="00AA53EA"/>
    <w:rsid w:val="00AE6002"/>
    <w:rsid w:val="00B05B3B"/>
    <w:rsid w:val="00B624D8"/>
    <w:rsid w:val="00B706FE"/>
    <w:rsid w:val="00B87982"/>
    <w:rsid w:val="00BA1879"/>
    <w:rsid w:val="00BB6F8E"/>
    <w:rsid w:val="00BD5000"/>
    <w:rsid w:val="00C14E91"/>
    <w:rsid w:val="00C20354"/>
    <w:rsid w:val="00C47E93"/>
    <w:rsid w:val="00C600D2"/>
    <w:rsid w:val="00C67DCA"/>
    <w:rsid w:val="00C873E6"/>
    <w:rsid w:val="00CA65AD"/>
    <w:rsid w:val="00D04300"/>
    <w:rsid w:val="00D51C5E"/>
    <w:rsid w:val="00D93C22"/>
    <w:rsid w:val="00E31C0D"/>
    <w:rsid w:val="00EE2915"/>
    <w:rsid w:val="00F4255A"/>
    <w:rsid w:val="00FA083E"/>
    <w:rsid w:val="00FC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AAA"/>
  </w:style>
  <w:style w:type="paragraph" w:styleId="Footer">
    <w:name w:val="footer"/>
    <w:basedOn w:val="Normal"/>
    <w:link w:val="FooterChar"/>
    <w:uiPriority w:val="99"/>
    <w:unhideWhenUsed/>
    <w:rsid w:val="00950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AAA"/>
  </w:style>
  <w:style w:type="character" w:styleId="Hyperlink">
    <w:name w:val="Hyperlink"/>
    <w:basedOn w:val="DefaultParagraphFont"/>
    <w:uiPriority w:val="99"/>
    <w:unhideWhenUsed/>
    <w:rsid w:val="004266C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F4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9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AAA"/>
  </w:style>
  <w:style w:type="paragraph" w:styleId="Footer">
    <w:name w:val="footer"/>
    <w:basedOn w:val="Normal"/>
    <w:link w:val="FooterChar"/>
    <w:uiPriority w:val="99"/>
    <w:unhideWhenUsed/>
    <w:rsid w:val="00950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AAA"/>
  </w:style>
  <w:style w:type="character" w:styleId="Hyperlink">
    <w:name w:val="Hyperlink"/>
    <w:basedOn w:val="DefaultParagraphFont"/>
    <w:uiPriority w:val="99"/>
    <w:unhideWhenUsed/>
    <w:rsid w:val="004266C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F4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cny.cuny.edu/finance/cunyfirst-non-tax-levy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cny.cuny.edu/finance/cunyfirst-non-tax-levy" TargetMode="External"/><Relationship Id="rId17" Type="http://schemas.openxmlformats.org/officeDocument/2006/relationships/hyperlink" Target="mailto:emedina2@ccny.cuny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awu@ccny.cuny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cny.cuny.edu/finance/cunyfirst-non-tax-lev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p@ccny.cuny.edu" TargetMode="External"/><Relationship Id="rId10" Type="http://schemas.openxmlformats.org/officeDocument/2006/relationships/hyperlink" Target="https://www.ccny.cuny.edu/finance/cunyfirst-non-tax-lev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cny.cuny.edu/finance/cunyfirst-non-tax-levy" TargetMode="External"/><Relationship Id="rId14" Type="http://schemas.openxmlformats.org/officeDocument/2006/relationships/hyperlink" Target="mailto:purchasing@ccny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2BFEA-D709-470B-8186-EA799D0B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CCNY</Company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Genzmann</dc:creator>
  <cp:lastModifiedBy>End</cp:lastModifiedBy>
  <cp:revision>2</cp:revision>
  <cp:lastPrinted>2019-07-25T21:40:00Z</cp:lastPrinted>
  <dcterms:created xsi:type="dcterms:W3CDTF">2019-07-30T14:45:00Z</dcterms:created>
  <dcterms:modified xsi:type="dcterms:W3CDTF">2019-07-30T14:45:00Z</dcterms:modified>
</cp:coreProperties>
</file>